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AD281" w14:textId="7893DF78" w:rsidR="00C42E0B" w:rsidRPr="00962E1B" w:rsidRDefault="00C42E0B" w:rsidP="000D6E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962E1B">
        <w:rPr>
          <w:rFonts w:ascii="Times New Roman" w:hAnsi="Times New Roman" w:cs="Times New Roman"/>
          <w:bCs/>
        </w:rPr>
        <w:t>Załącznik</w:t>
      </w:r>
      <w:r w:rsidR="00A862A6" w:rsidRPr="00962E1B">
        <w:rPr>
          <w:rFonts w:ascii="Times New Roman" w:hAnsi="Times New Roman" w:cs="Times New Roman"/>
          <w:bCs/>
        </w:rPr>
        <w:t xml:space="preserve"> </w:t>
      </w:r>
      <w:r w:rsidRPr="00962E1B">
        <w:rPr>
          <w:rFonts w:ascii="Times New Roman" w:hAnsi="Times New Roman" w:cs="Times New Roman"/>
          <w:bCs/>
        </w:rPr>
        <w:t>B.56.</w:t>
      </w:r>
    </w:p>
    <w:p w14:paraId="53BA7DB9" w14:textId="77777777" w:rsidR="00C42E0B" w:rsidRPr="00962E1B" w:rsidRDefault="00C42E0B" w:rsidP="000D6E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14:paraId="3475FA66" w14:textId="784F14B0" w:rsidR="00491560" w:rsidRPr="00962E1B" w:rsidRDefault="00491560" w:rsidP="004C6726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bookmarkStart w:id="0" w:name="_Hlk110000437"/>
      <w:r w:rsidRPr="00962E1B">
        <w:rPr>
          <w:rFonts w:ascii="Times New Roman" w:eastAsia="Times New Roman" w:hAnsi="Times New Roman" w:cs="Times New Roman"/>
          <w:b/>
          <w:bCs/>
          <w:sz w:val="28"/>
          <w:szCs w:val="20"/>
        </w:rPr>
        <w:t>LECZENIE</w:t>
      </w:r>
      <w:r w:rsidR="00A862A6" w:rsidRPr="00962E1B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="00B92CB9" w:rsidRPr="00962E1B">
        <w:rPr>
          <w:rFonts w:ascii="Times New Roman" w:eastAsia="Times New Roman" w:hAnsi="Times New Roman" w:cs="Times New Roman"/>
          <w:b/>
          <w:bCs/>
          <w:sz w:val="28"/>
          <w:szCs w:val="20"/>
        </w:rPr>
        <w:t>CHORYCH</w:t>
      </w:r>
      <w:r w:rsidR="00A862A6" w:rsidRPr="00962E1B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="00B92CB9" w:rsidRPr="00962E1B">
        <w:rPr>
          <w:rFonts w:ascii="Times New Roman" w:eastAsia="Times New Roman" w:hAnsi="Times New Roman" w:cs="Times New Roman"/>
          <w:b/>
          <w:bCs/>
          <w:sz w:val="28"/>
          <w:szCs w:val="20"/>
        </w:rPr>
        <w:t>NA</w:t>
      </w:r>
      <w:r w:rsidR="00A862A6" w:rsidRPr="00962E1B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962E1B">
        <w:rPr>
          <w:rFonts w:ascii="Times New Roman" w:eastAsia="Times New Roman" w:hAnsi="Times New Roman" w:cs="Times New Roman"/>
          <w:b/>
          <w:bCs/>
          <w:sz w:val="28"/>
          <w:szCs w:val="20"/>
        </w:rPr>
        <w:t>RAKA</w:t>
      </w:r>
      <w:r w:rsidR="00A862A6" w:rsidRPr="00962E1B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962E1B">
        <w:rPr>
          <w:rFonts w:ascii="Times New Roman" w:eastAsia="Times New Roman" w:hAnsi="Times New Roman" w:cs="Times New Roman"/>
          <w:b/>
          <w:bCs/>
          <w:sz w:val="28"/>
          <w:szCs w:val="20"/>
        </w:rPr>
        <w:t>GRUCZOŁU</w:t>
      </w:r>
      <w:r w:rsidR="00A862A6" w:rsidRPr="00962E1B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962E1B">
        <w:rPr>
          <w:rFonts w:ascii="Times New Roman" w:eastAsia="Times New Roman" w:hAnsi="Times New Roman" w:cs="Times New Roman"/>
          <w:b/>
          <w:bCs/>
          <w:sz w:val="28"/>
          <w:szCs w:val="20"/>
        </w:rPr>
        <w:t>KROKOWEGO</w:t>
      </w:r>
      <w:r w:rsidR="00A862A6" w:rsidRPr="00962E1B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962E1B">
        <w:rPr>
          <w:rFonts w:ascii="Times New Roman" w:eastAsia="Times New Roman" w:hAnsi="Times New Roman" w:cs="Times New Roman"/>
          <w:b/>
          <w:bCs/>
          <w:sz w:val="28"/>
          <w:szCs w:val="20"/>
        </w:rPr>
        <w:t>(ICD-10</w:t>
      </w:r>
      <w:r w:rsidR="00772B8E" w:rsidRPr="00962E1B">
        <w:rPr>
          <w:rFonts w:ascii="Times New Roman" w:eastAsia="Times New Roman" w:hAnsi="Times New Roman" w:cs="Times New Roman"/>
          <w:b/>
          <w:bCs/>
          <w:sz w:val="28"/>
          <w:szCs w:val="20"/>
        </w:rPr>
        <w:t>:</w:t>
      </w:r>
      <w:r w:rsidR="00A862A6" w:rsidRPr="00962E1B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962E1B">
        <w:rPr>
          <w:rFonts w:ascii="Times New Roman" w:eastAsia="Times New Roman" w:hAnsi="Times New Roman" w:cs="Times New Roman"/>
          <w:b/>
          <w:bCs/>
          <w:sz w:val="28"/>
          <w:szCs w:val="20"/>
        </w:rPr>
        <w:t>C61)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6798"/>
        <w:gridCol w:w="4364"/>
        <w:gridCol w:w="4226"/>
      </w:tblGrid>
      <w:tr w:rsidR="00491560" w:rsidRPr="00962E1B" w14:paraId="707334B3" w14:textId="77777777" w:rsidTr="000D6E31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2D13ECE1" w14:textId="44F56503" w:rsidR="00491560" w:rsidRPr="00962E1B" w:rsidRDefault="00491560" w:rsidP="000D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ZAKRES</w:t>
            </w:r>
            <w:r w:rsidR="00A862A6"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ŚWIADCZENIA</w:t>
            </w:r>
            <w:r w:rsidR="00A862A6"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GWARANTOWANEGO</w:t>
            </w:r>
          </w:p>
        </w:tc>
      </w:tr>
      <w:tr w:rsidR="00A862A6" w:rsidRPr="00962E1B" w14:paraId="15A5697E" w14:textId="77777777" w:rsidTr="004002FB">
        <w:trPr>
          <w:trHeight w:val="567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9A361" w14:textId="77777777" w:rsidR="00491560" w:rsidRPr="00962E1B" w:rsidRDefault="00491560" w:rsidP="000D6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ŚWIADCZENIOBIORCY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31BEA" w14:textId="74F15F8E" w:rsidR="00491560" w:rsidRPr="00962E1B" w:rsidRDefault="00491560" w:rsidP="000D6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SCHEMAT</w:t>
            </w:r>
            <w:r w:rsidR="00A862A6"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A6D83"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DAWKOWANIA LE</w:t>
            </w:r>
            <w:r w:rsidR="004377CE"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KÓW</w:t>
            </w:r>
            <w:r w:rsidR="000A6D83"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03C40"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="000A6D83"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 PROGRAMIE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2B5CD" w14:textId="0B07CF66" w:rsidR="00491560" w:rsidRPr="00962E1B" w:rsidRDefault="00491560" w:rsidP="000D6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BADANIA</w:t>
            </w:r>
            <w:r w:rsidR="00A862A6"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DIAGNOSTYCZNE</w:t>
            </w:r>
            <w:r w:rsidR="00A862A6"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WYKONYWANE</w:t>
            </w:r>
            <w:r w:rsidR="00A862A6"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</w:t>
            </w:r>
            <w:r w:rsidR="00A862A6"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RAMACH</w:t>
            </w:r>
            <w:r w:rsidR="00A862A6"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2E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A862A6" w:rsidRPr="00DE1BAD" w14:paraId="46A2534B" w14:textId="77777777" w:rsidTr="004002FB">
        <w:trPr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5BCF8" w14:textId="3A1543F9" w:rsidR="00B95657" w:rsidRPr="00962E1B" w:rsidRDefault="00B95657" w:rsidP="00303C40">
            <w:pPr>
              <w:pStyle w:val="Tekstkomentarza"/>
              <w:spacing w:before="120" w:after="60" w:line="276" w:lineRule="auto"/>
              <w:jc w:val="both"/>
              <w:rPr>
                <w:rFonts w:ascii="Times New Roman" w:hAnsi="Times New Roman" w:cs="Times New Roman"/>
              </w:rPr>
            </w:pPr>
            <w:bookmarkStart w:id="1" w:name="_Hlk126516355"/>
            <w:r w:rsidRPr="00962E1B">
              <w:rPr>
                <w:rFonts w:ascii="Times New Roman" w:hAnsi="Times New Roman" w:cs="Times New Roman"/>
              </w:rPr>
              <w:t>W programie finansuje się tylko jedną linię hormonoterapii lekiem nowej generacji,</w:t>
            </w:r>
            <w:r w:rsidR="00B63D2C" w:rsidRPr="00962E1B">
              <w:rPr>
                <w:rFonts w:ascii="Times New Roman" w:hAnsi="Times New Roman" w:cs="Times New Roman"/>
              </w:rPr>
              <w:t xml:space="preserve"> </w:t>
            </w:r>
            <w:r w:rsidRPr="00962E1B">
              <w:rPr>
                <w:rFonts w:ascii="Times New Roman" w:hAnsi="Times New Roman" w:cs="Times New Roman"/>
              </w:rPr>
              <w:t>jedną linię chemioterapii</w:t>
            </w:r>
            <w:r w:rsidR="00227946" w:rsidRPr="00962E1B">
              <w:rPr>
                <w:rFonts w:ascii="Times New Roman" w:hAnsi="Times New Roman" w:cs="Times New Roman"/>
              </w:rPr>
              <w:t>, jedną linię terapii inhibitorem PARP</w:t>
            </w:r>
            <w:r w:rsidR="00BA2B13" w:rsidRPr="00962E1B">
              <w:t xml:space="preserve"> </w:t>
            </w:r>
            <w:r w:rsidR="00BA2B13" w:rsidRPr="00962E1B">
              <w:rPr>
                <w:rFonts w:ascii="Times New Roman" w:hAnsi="Times New Roman" w:cs="Times New Roman"/>
              </w:rPr>
              <w:t>i jedną linię terapii izotopem z wykorzystaniem substancji:</w:t>
            </w:r>
            <w:r w:rsidRPr="00962E1B">
              <w:rPr>
                <w:rFonts w:ascii="Times New Roman" w:hAnsi="Times New Roman" w:cs="Times New Roman"/>
              </w:rPr>
              <w:t xml:space="preserve"> </w:t>
            </w:r>
          </w:p>
          <w:bookmarkEnd w:id="1"/>
          <w:p w14:paraId="55A131A3" w14:textId="7034C539" w:rsidR="007D0522" w:rsidRPr="00962E1B" w:rsidRDefault="007D0522" w:rsidP="00BC5EEA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apalutamid</w:t>
            </w:r>
            <w:proofErr w:type="spellEnd"/>
            <w:r w:rsidR="00560713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5FF3E020" w14:textId="337F0223" w:rsidR="007D0522" w:rsidRPr="00962E1B" w:rsidRDefault="007D0522" w:rsidP="00BC5EEA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</w:t>
            </w:r>
            <w:proofErr w:type="spellEnd"/>
            <w:r w:rsidR="00560713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37C269D1" w14:textId="14FA653E" w:rsidR="007D0522" w:rsidRPr="00962E1B" w:rsidRDefault="007D0522" w:rsidP="00BC5EEA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enzalutamid</w:t>
            </w:r>
            <w:proofErr w:type="spellEnd"/>
            <w:r w:rsidR="00560713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1812ABA2" w14:textId="7E4FCD2C" w:rsidR="00E36E5E" w:rsidRPr="00962E1B" w:rsidRDefault="00E36E5E" w:rsidP="00BC5EEA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kabazytaksel</w:t>
            </w:r>
            <w:proofErr w:type="spellEnd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4B4544D9" w14:textId="115F7B1F" w:rsidR="00D0654C" w:rsidRPr="00962E1B" w:rsidRDefault="004943AE" w:rsidP="00BC5EEA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olaparyb</w:t>
            </w:r>
            <w:proofErr w:type="spellEnd"/>
            <w:r w:rsidR="00731544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6D1E2EDE" w14:textId="55DEA74F" w:rsidR="00731544" w:rsidRPr="00962E1B" w:rsidRDefault="00731544" w:rsidP="00BC5EEA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dichlorek</w:t>
            </w:r>
            <w:proofErr w:type="spellEnd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radu-223.</w:t>
            </w:r>
          </w:p>
          <w:p w14:paraId="512A0397" w14:textId="6B0B15C6" w:rsidR="001B0E04" w:rsidRPr="00962E1B" w:rsidRDefault="001B0E04" w:rsidP="00BC5E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leczeniu </w:t>
            </w:r>
            <w:r w:rsidR="00EF44C2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wrażliwego na kastrację</w:t>
            </w:r>
            <w:r w:rsidR="00EF44C2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raka gruczołu krokowego</w:t>
            </w:r>
            <w:r w:rsidR="00B63D2C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z przerzutami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017DA7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proofErr w:type="spellStart"/>
            <w:r w:rsidR="00017DA7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mHSPC</w:t>
            </w:r>
            <w:proofErr w:type="spellEnd"/>
            <w:r w:rsidR="00017DA7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) 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stosowany jest</w:t>
            </w: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apalutamid</w:t>
            </w:r>
            <w:proofErr w:type="spellEnd"/>
            <w:r w:rsidR="000B1521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0B1521"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albo</w:t>
            </w:r>
            <w:r w:rsidR="000B1521" w:rsidRPr="00962E1B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0B1521" w:rsidRPr="00962E1B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>darolutamid</w:t>
            </w:r>
            <w:proofErr w:type="spellEnd"/>
            <w:r w:rsidR="00E85523" w:rsidRPr="00962E1B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E85523"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albo</w:t>
            </w:r>
            <w:r w:rsidR="00E85523" w:rsidRPr="00962E1B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E85523" w:rsidRPr="00962E1B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>enzalutamid</w:t>
            </w:r>
            <w:proofErr w:type="spellEnd"/>
            <w:r w:rsidR="0067580D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>.</w:t>
            </w:r>
          </w:p>
          <w:p w14:paraId="53D8A088" w14:textId="30E22A9E" w:rsidR="001B0E04" w:rsidRPr="00962E1B" w:rsidRDefault="001B0E04" w:rsidP="00BC5E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leczeniu </w:t>
            </w: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opornego na kastrację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raka gruczołu krokowego</w:t>
            </w:r>
            <w:r w:rsidR="00B63D2C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bez przerzutów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017DA7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proofErr w:type="spellStart"/>
            <w:r w:rsidR="00017DA7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nmCRPC</w:t>
            </w:r>
            <w:proofErr w:type="spellEnd"/>
            <w:r w:rsidR="00017DA7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) 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stosowany jest </w:t>
            </w:r>
            <w:proofErr w:type="spellStart"/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apalutamid</w:t>
            </w:r>
            <w:proofErr w:type="spellEnd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albo </w:t>
            </w:r>
            <w:proofErr w:type="spellStart"/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darolutamid</w:t>
            </w:r>
            <w:proofErr w:type="spellEnd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albo </w:t>
            </w:r>
            <w:proofErr w:type="spellStart"/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enzalutamid</w:t>
            </w:r>
            <w:proofErr w:type="spellEnd"/>
            <w:r w:rsidR="0067580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.</w:t>
            </w:r>
          </w:p>
          <w:p w14:paraId="1DE1276A" w14:textId="2EE5ABA4" w:rsidR="008626CB" w:rsidRPr="00962E1B" w:rsidRDefault="001B0E04" w:rsidP="00BC5E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leczeniu </w:t>
            </w: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opornego na kastrację 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raka gruczołu krokowego</w:t>
            </w:r>
            <w:r w:rsidR="00B63D2C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z przerzutami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017DA7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proofErr w:type="spellStart"/>
            <w:r w:rsidR="00017DA7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mCRPC</w:t>
            </w:r>
            <w:proofErr w:type="spellEnd"/>
            <w:r w:rsidR="00017DA7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303C40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stosowany jest </w:t>
            </w:r>
            <w:proofErr w:type="spellStart"/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enzalutamid</w:t>
            </w:r>
            <w:proofErr w:type="spellEnd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albo</w:t>
            </w: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E36E5E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kabazytaksel</w:t>
            </w:r>
            <w:proofErr w:type="spellEnd"/>
            <w:r w:rsidR="00E36E5E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E36E5E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albo</w:t>
            </w:r>
            <w:r w:rsidR="00E36E5E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olaparyb</w:t>
            </w:r>
            <w:proofErr w:type="spellEnd"/>
            <w:r w:rsidR="00731544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731544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albo </w:t>
            </w:r>
            <w:r w:rsidR="00731544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731544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dichlorek</w:t>
            </w:r>
            <w:proofErr w:type="spellEnd"/>
            <w:r w:rsidR="00731544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radu-223.</w:t>
            </w:r>
          </w:p>
          <w:p w14:paraId="1DF917D4" w14:textId="425C3772" w:rsidR="00E27E63" w:rsidRPr="00962E1B" w:rsidRDefault="00E27E63" w:rsidP="00BC5E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66C7F26B" w14:textId="132CD7B7" w:rsidR="00E27E63" w:rsidRPr="00962E1B" w:rsidRDefault="00E27E63" w:rsidP="00BC5E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programie istnieje jednorazowa możliwość leczenia niesteroidowym antyandrogen</w:t>
            </w:r>
            <w:r w:rsidR="00B23D6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em, </w:t>
            </w:r>
            <w:proofErr w:type="spellStart"/>
            <w:r w:rsidR="00B23D6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kabazytakselem</w:t>
            </w:r>
            <w:proofErr w:type="spellEnd"/>
            <w:r w:rsidR="00B23D6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="00B23D6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olaparybem</w:t>
            </w:r>
            <w:proofErr w:type="spellEnd"/>
            <w:r w:rsidR="00B23D6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i </w:t>
            </w:r>
            <w:proofErr w:type="spellStart"/>
            <w:r w:rsidR="00B23D6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dichlorkiem</w:t>
            </w:r>
            <w:proofErr w:type="spellEnd"/>
            <w:r w:rsidR="00B23D6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radu-223.</w:t>
            </w:r>
          </w:p>
          <w:p w14:paraId="13642951" w14:textId="77777777" w:rsidR="001869D7" w:rsidRPr="00962E1B" w:rsidRDefault="001869D7" w:rsidP="00BC5E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3A242DE0" w14:textId="63C30237" w:rsidR="008D37B1" w:rsidRPr="00962E1B" w:rsidRDefault="008D37B1" w:rsidP="00BC5EEA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Kryteria </w:t>
            </w:r>
            <w:r w:rsidR="005A6322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</w:t>
            </w: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walifikacji </w:t>
            </w:r>
          </w:p>
          <w:p w14:paraId="6E1FDEAA" w14:textId="36E4BE70" w:rsidR="00886B5E" w:rsidRPr="00962E1B" w:rsidRDefault="00032E20" w:rsidP="00BC5EE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Muszą zostać spełnione łącznie kryteria ogólne (1.1.) oraz kryteria szczegółowe (1.2.) dla poszczególnych substancji czynnych.</w:t>
            </w:r>
          </w:p>
          <w:p w14:paraId="3C4C5837" w14:textId="77777777" w:rsidR="00032E20" w:rsidRPr="00962E1B" w:rsidRDefault="00032E20" w:rsidP="00BC5EE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047E03" w14:textId="3C251E24" w:rsidR="00886B5E" w:rsidRPr="00962E1B" w:rsidRDefault="00327C66" w:rsidP="00BC5EEA">
            <w:pPr>
              <w:pStyle w:val="Akapitzlist"/>
              <w:numPr>
                <w:ilvl w:val="1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Ogólne kryteria kwalifikacji</w:t>
            </w:r>
          </w:p>
          <w:p w14:paraId="393450CA" w14:textId="2C91A4C8" w:rsidR="00A11E82" w:rsidRPr="00962E1B" w:rsidRDefault="00476EE8" w:rsidP="00BC5EEA">
            <w:pPr>
              <w:pStyle w:val="Akapitzlist"/>
              <w:widowControl w:val="0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histologiczne rozpoznanie raka gruczołowego stercza</w:t>
            </w:r>
            <w:r w:rsidR="00A11E82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;</w:t>
            </w:r>
          </w:p>
          <w:p w14:paraId="51B9C157" w14:textId="63889065" w:rsidR="00B6788E" w:rsidRPr="00962E1B" w:rsidRDefault="00D301C1" w:rsidP="00BC5E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ukończony 18. rok życia</w:t>
            </w:r>
            <w:r w:rsidR="00B6788E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;</w:t>
            </w:r>
          </w:p>
          <w:p w14:paraId="6EEE8F5A" w14:textId="1CA65E2B" w:rsidR="00C65579" w:rsidRPr="00962E1B" w:rsidRDefault="00A11E82" w:rsidP="00BC5EEA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stan sprawności</w:t>
            </w:r>
            <w:r w:rsidR="002F04FC" w:rsidRPr="00962E1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C2B82F7" w14:textId="3B4749C3" w:rsidR="00911820" w:rsidRPr="00962E1B" w:rsidRDefault="00911820" w:rsidP="00BC5EEA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Pr="00962E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26843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według ECOG w przypadku leczenia </w:t>
            </w:r>
            <w:proofErr w:type="spellStart"/>
            <w:r w:rsidR="00194617" w:rsidRPr="00962E1B">
              <w:rPr>
                <w:rFonts w:ascii="Times New Roman" w:hAnsi="Times New Roman" w:cs="Times New Roman"/>
                <w:sz w:val="20"/>
                <w:szCs w:val="20"/>
              </w:rPr>
              <w:t>apalutamidem</w:t>
            </w:r>
            <w:proofErr w:type="spellEnd"/>
            <w:r w:rsidR="00731544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731544" w:rsidRPr="00962E1B">
              <w:rPr>
                <w:rFonts w:ascii="Times New Roman" w:hAnsi="Times New Roman" w:cs="Times New Roman"/>
                <w:sz w:val="20"/>
                <w:szCs w:val="20"/>
              </w:rPr>
              <w:t>darolutamidem</w:t>
            </w:r>
            <w:proofErr w:type="spellEnd"/>
            <w:r w:rsidR="00194617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2140" w:rsidRPr="00962E1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194617" w:rsidRPr="00962E1B">
              <w:rPr>
                <w:rFonts w:ascii="Times New Roman" w:hAnsi="Times New Roman" w:cs="Times New Roman"/>
                <w:sz w:val="20"/>
                <w:szCs w:val="20"/>
              </w:rPr>
              <w:t>nmCRPC</w:t>
            </w:r>
            <w:proofErr w:type="spellEnd"/>
            <w:r w:rsidR="00194617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="00194617" w:rsidRPr="00962E1B">
              <w:rPr>
                <w:rFonts w:ascii="Times New Roman" w:hAnsi="Times New Roman" w:cs="Times New Roman"/>
                <w:sz w:val="20"/>
                <w:szCs w:val="20"/>
              </w:rPr>
              <w:t>enzalutamidem</w:t>
            </w:r>
            <w:proofErr w:type="spellEnd"/>
            <w:r w:rsidR="00194617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194617" w:rsidRPr="00962E1B">
              <w:rPr>
                <w:rFonts w:ascii="Times New Roman" w:hAnsi="Times New Roman" w:cs="Times New Roman"/>
                <w:sz w:val="20"/>
                <w:szCs w:val="20"/>
              </w:rPr>
              <w:t>nmCRPC</w:t>
            </w:r>
            <w:proofErr w:type="spellEnd"/>
            <w:r w:rsidR="00194617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="00194617" w:rsidRPr="00962E1B">
              <w:rPr>
                <w:rFonts w:ascii="Times New Roman" w:hAnsi="Times New Roman" w:cs="Times New Roman"/>
                <w:sz w:val="20"/>
                <w:szCs w:val="20"/>
              </w:rPr>
              <w:t>mCRPC</w:t>
            </w:r>
            <w:proofErr w:type="spellEnd"/>
            <w:r w:rsidR="00B23D65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88E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przed podaniem </w:t>
            </w:r>
            <w:proofErr w:type="spellStart"/>
            <w:r w:rsidR="00B6788E" w:rsidRPr="00962E1B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="00B6788E" w:rsidRPr="00962E1B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2E31FA33" w14:textId="77777777" w:rsidR="00911820" w:rsidRPr="00962E1B" w:rsidRDefault="00726843" w:rsidP="00BC5EE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albo </w:t>
            </w:r>
          </w:p>
          <w:p w14:paraId="7D85A6A2" w14:textId="59D6B2CF" w:rsidR="00194617" w:rsidRPr="00962E1B" w:rsidRDefault="00726843" w:rsidP="00BC5EEA">
            <w:pPr>
              <w:pStyle w:val="Akapitzlist"/>
              <w:widowControl w:val="0"/>
              <w:numPr>
                <w:ilvl w:val="4"/>
                <w:numId w:val="2"/>
              </w:numPr>
              <w:tabs>
                <w:tab w:val="left" w:pos="761"/>
              </w:tabs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Pr="00962E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11820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według ECOG 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w przypadku leczenia</w:t>
            </w:r>
            <w:r w:rsidR="00FC2140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C2140" w:rsidRPr="00962E1B">
              <w:rPr>
                <w:rFonts w:ascii="Times New Roman" w:hAnsi="Times New Roman" w:cs="Times New Roman"/>
                <w:sz w:val="20"/>
                <w:szCs w:val="20"/>
              </w:rPr>
              <w:t>apalutamidem</w:t>
            </w:r>
            <w:proofErr w:type="spellEnd"/>
            <w:r w:rsidR="00FC2140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FC2140" w:rsidRPr="00962E1B">
              <w:rPr>
                <w:rFonts w:ascii="Times New Roman" w:hAnsi="Times New Roman" w:cs="Times New Roman"/>
                <w:sz w:val="20"/>
                <w:szCs w:val="20"/>
              </w:rPr>
              <w:t>mHSPC</w:t>
            </w:r>
            <w:proofErr w:type="spellEnd"/>
            <w:r w:rsidR="00FC2140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B1521" w:rsidRPr="00962E1B">
              <w:rPr>
                <w:rFonts w:ascii="Times New Roman" w:hAnsi="Times New Roman" w:cs="Times New Roman"/>
                <w:sz w:val="20"/>
                <w:szCs w:val="20"/>
              </w:rPr>
              <w:t>darolutamidem</w:t>
            </w:r>
            <w:proofErr w:type="spellEnd"/>
            <w:r w:rsidR="000B1521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0B1521" w:rsidRPr="00962E1B">
              <w:rPr>
                <w:rFonts w:ascii="Times New Roman" w:hAnsi="Times New Roman" w:cs="Times New Roman"/>
                <w:sz w:val="20"/>
                <w:szCs w:val="20"/>
              </w:rPr>
              <w:t>mHSPC</w:t>
            </w:r>
            <w:proofErr w:type="spellEnd"/>
            <w:r w:rsidR="000B1521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="00194617" w:rsidRPr="00962E1B">
              <w:rPr>
                <w:rFonts w:ascii="Times New Roman" w:hAnsi="Times New Roman" w:cs="Times New Roman"/>
                <w:sz w:val="20"/>
                <w:szCs w:val="20"/>
              </w:rPr>
              <w:t>enzalutamidem</w:t>
            </w:r>
            <w:proofErr w:type="spellEnd"/>
            <w:r w:rsidR="00194617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0B1521" w:rsidRPr="00962E1B">
              <w:rPr>
                <w:rFonts w:ascii="Times New Roman" w:hAnsi="Times New Roman" w:cs="Times New Roman"/>
                <w:sz w:val="20"/>
                <w:szCs w:val="20"/>
              </w:rPr>
              <w:t>mHSPC</w:t>
            </w:r>
            <w:proofErr w:type="spellEnd"/>
            <w:r w:rsidR="000B1521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194617" w:rsidRPr="00962E1B">
              <w:rPr>
                <w:rFonts w:ascii="Times New Roman" w:hAnsi="Times New Roman" w:cs="Times New Roman"/>
                <w:sz w:val="20"/>
                <w:szCs w:val="20"/>
              </w:rPr>
              <w:t>mCRPC</w:t>
            </w:r>
            <w:proofErr w:type="spellEnd"/>
            <w:r w:rsidR="00194617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po </w:t>
            </w:r>
            <w:r w:rsidR="00B6788E" w:rsidRPr="00962E1B">
              <w:rPr>
                <w:rFonts w:ascii="Times New Roman" w:hAnsi="Times New Roman" w:cs="Times New Roman"/>
                <w:sz w:val="20"/>
                <w:szCs w:val="20"/>
              </w:rPr>
              <w:t>wcześniejszym leczeniu</w:t>
            </w:r>
            <w:r w:rsidR="00194617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94617" w:rsidRPr="00962E1B">
              <w:rPr>
                <w:rFonts w:ascii="Times New Roman" w:hAnsi="Times New Roman" w:cs="Times New Roman"/>
                <w:sz w:val="20"/>
                <w:szCs w:val="20"/>
              </w:rPr>
              <w:t>docetaksel</w:t>
            </w:r>
            <w:r w:rsidR="00B6788E" w:rsidRPr="00962E1B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194617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="00194617" w:rsidRPr="00962E1B">
              <w:rPr>
                <w:rFonts w:ascii="Times New Roman" w:hAnsi="Times New Roman" w:cs="Times New Roman"/>
                <w:sz w:val="20"/>
                <w:szCs w:val="20"/>
              </w:rPr>
              <w:t>kabazytakselem</w:t>
            </w:r>
            <w:proofErr w:type="spellEnd"/>
            <w:r w:rsidR="00194617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194617" w:rsidRPr="00962E1B">
              <w:rPr>
                <w:rFonts w:ascii="Times New Roman" w:hAnsi="Times New Roman" w:cs="Times New Roman"/>
                <w:sz w:val="20"/>
                <w:szCs w:val="20"/>
              </w:rPr>
              <w:t>olaparybem</w:t>
            </w:r>
            <w:proofErr w:type="spellEnd"/>
            <w:r w:rsidR="00731544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731544" w:rsidRPr="00962E1B">
              <w:rPr>
                <w:rFonts w:ascii="Times New Roman" w:hAnsi="Times New Roman" w:cs="Times New Roman"/>
                <w:sz w:val="20"/>
                <w:szCs w:val="20"/>
              </w:rPr>
              <w:t>dichlorkiem</w:t>
            </w:r>
            <w:proofErr w:type="spellEnd"/>
            <w:r w:rsidR="00731544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radu-223;</w:t>
            </w:r>
          </w:p>
          <w:p w14:paraId="7717C391" w14:textId="582AD04B" w:rsidR="00A11E82" w:rsidRPr="00962E1B" w:rsidRDefault="00A11E82" w:rsidP="00BC5EEA">
            <w:pPr>
              <w:pStyle w:val="Akapitzlist"/>
              <w:widowControl w:val="0"/>
              <w:numPr>
                <w:ilvl w:val="3"/>
                <w:numId w:val="2"/>
              </w:numPr>
              <w:tabs>
                <w:tab w:val="left" w:pos="761"/>
              </w:tabs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adekwatna wydolność narządowa określona na podstawie wyników badań laboratoryjnych krwi zgodnie z zapisami </w:t>
            </w:r>
            <w:r w:rsidR="00177493"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aktualnej </w:t>
            </w:r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>Charakterystyki Produktu Leczniczego (</w:t>
            </w:r>
            <w:proofErr w:type="spellStart"/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>ChPL</w:t>
            </w:r>
            <w:proofErr w:type="spellEnd"/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>);</w:t>
            </w:r>
          </w:p>
          <w:p w14:paraId="65B6825E" w14:textId="118DA6E8" w:rsidR="00A11E82" w:rsidRPr="00962E1B" w:rsidRDefault="00A11E82" w:rsidP="00BC5EEA">
            <w:pPr>
              <w:pStyle w:val="Akapitzlist"/>
              <w:widowControl w:val="0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brak przeciwwskazań do stosowania </w:t>
            </w:r>
            <w:r w:rsidR="00A6366E" w:rsidRPr="00962E1B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zgodnie z</w:t>
            </w:r>
            <w:r w:rsidR="00A6366E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zapisami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7493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aktualnej </w:t>
            </w:r>
            <w:proofErr w:type="spellStart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5E8853" w14:textId="77777777" w:rsidR="00177493" w:rsidRPr="00962E1B" w:rsidRDefault="000A507C" w:rsidP="00BC5EEA">
            <w:pPr>
              <w:pStyle w:val="Akapitzlist"/>
              <w:widowControl w:val="0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nieobecność schorzeń lub stanów stanowiących przeciwskazanie do zastosowania terapii</w:t>
            </w:r>
            <w:r w:rsidR="00FE49B5" w:rsidRPr="00962E1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7BB3654" w14:textId="5A1C2905" w:rsidR="00DB4537" w:rsidRPr="00962E1B" w:rsidRDefault="00FE49B5" w:rsidP="00BC5EEA">
            <w:pPr>
              <w:pStyle w:val="Akapitzlist"/>
              <w:widowControl w:val="0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nieobecność innych nowotworów niekontrolowanych leczeniem;</w:t>
            </w:r>
          </w:p>
          <w:p w14:paraId="21301411" w14:textId="2B92288E" w:rsidR="000B4003" w:rsidRPr="00962E1B" w:rsidRDefault="00FE49B5" w:rsidP="00BC5E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brak </w:t>
            </w:r>
            <w:r w:rsidR="00C6578F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rozpoznani</w:t>
            </w:r>
            <w:r w:rsidR="00177493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a</w:t>
            </w:r>
            <w:r w:rsidR="00C6578F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raka stercza z różnicowaniem neuroendokrynnym lub raka</w:t>
            </w:r>
            <w:r w:rsidR="000B4003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C6578F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drobnokomórkowego lub raka przewodowego</w:t>
            </w:r>
            <w:r w:rsidR="00E46071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.</w:t>
            </w:r>
          </w:p>
          <w:p w14:paraId="44A960A2" w14:textId="77777777" w:rsidR="008626CB" w:rsidRPr="00962E1B" w:rsidRDefault="008626CB" w:rsidP="00BC5EEA">
            <w:pPr>
              <w:widowControl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</w:p>
          <w:p w14:paraId="1B9511E1" w14:textId="1B35B735" w:rsidR="00E46071" w:rsidRPr="00962E1B" w:rsidRDefault="004D441C" w:rsidP="00BC5EEA">
            <w:pPr>
              <w:pStyle w:val="Akapitzlist"/>
              <w:numPr>
                <w:ilvl w:val="1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="00DB4537" w:rsidRPr="00962E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zczegółowe kryteria kwalifikacji</w:t>
            </w:r>
          </w:p>
          <w:p w14:paraId="61BB2F58" w14:textId="31528D31" w:rsidR="002D241D" w:rsidRPr="00962E1B" w:rsidRDefault="002D241D" w:rsidP="00BC5EEA">
            <w:pPr>
              <w:pStyle w:val="Akapitzlist"/>
              <w:widowControl w:val="0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</w:pPr>
            <w:r w:rsidRPr="00962E1B"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  <w:t>Chorych na wrażliwego na kastrację raka gruczołu krokowego z przerzutami</w:t>
            </w:r>
            <w:r w:rsidR="001C45DB" w:rsidRPr="00962E1B"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proofErr w:type="spellStart"/>
            <w:r w:rsidR="001C45DB" w:rsidRPr="00962E1B"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  <w:t>apalutamidem</w:t>
            </w:r>
            <w:proofErr w:type="spellEnd"/>
            <w:r w:rsidR="001C45DB" w:rsidRPr="00962E1B"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  <w:t xml:space="preserve"> albo </w:t>
            </w:r>
            <w:proofErr w:type="spellStart"/>
            <w:r w:rsidR="001C45DB" w:rsidRPr="00962E1B"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  <w:t>enzalutamidem</w:t>
            </w:r>
            <w:proofErr w:type="spellEnd"/>
            <w:r w:rsidR="001C45DB" w:rsidRPr="00962E1B"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  <w:t xml:space="preserve"> albo</w:t>
            </w:r>
            <w:r w:rsidRPr="00962E1B"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proofErr w:type="spellStart"/>
            <w:r w:rsidRPr="00962E1B"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  <w:t>darolutamidem</w:t>
            </w:r>
            <w:proofErr w:type="spellEnd"/>
            <w:r w:rsidR="001C45DB" w:rsidRPr="00962E1B"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  <w:t xml:space="preserve"> w skojarzeniu z </w:t>
            </w:r>
            <w:proofErr w:type="spellStart"/>
            <w:r w:rsidR="001C45DB" w:rsidRPr="00962E1B"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  <w:t>docetakselem</w:t>
            </w:r>
            <w:proofErr w:type="spellEnd"/>
          </w:p>
          <w:p w14:paraId="65142D71" w14:textId="77777777" w:rsidR="002D241D" w:rsidRPr="00962E1B" w:rsidRDefault="002D241D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hAnsi="Times New Roman"/>
                <w:color w:val="000000"/>
                <w:sz w:val="20"/>
                <w:szCs w:val="20"/>
                <w:lang w:bidi="pl-PL"/>
              </w:rPr>
              <w:lastRenderedPageBreak/>
              <w:t>stadium wrażliwości na kastrację;</w:t>
            </w:r>
          </w:p>
          <w:p w14:paraId="52202629" w14:textId="4D0DA4FB" w:rsidR="002D241D" w:rsidRPr="00962E1B" w:rsidRDefault="002D241D" w:rsidP="00BC5E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udokumentowana możliwość rozpoczęcia leczenia </w:t>
            </w:r>
            <w:proofErr w:type="spellStart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docetakselem</w:t>
            </w:r>
            <w:proofErr w:type="spellEnd"/>
            <w:r w:rsidR="001C45DB"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 (w przypadku leczenia </w:t>
            </w:r>
            <w:proofErr w:type="spellStart"/>
            <w:r w:rsidR="001C45DB"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darolutamidem</w:t>
            </w:r>
            <w:proofErr w:type="spellEnd"/>
            <w:r w:rsidR="001C45DB"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)</w:t>
            </w: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;</w:t>
            </w:r>
          </w:p>
          <w:p w14:paraId="266130F1" w14:textId="3B85C974" w:rsidR="00B45B42" w:rsidRPr="00962E1B" w:rsidRDefault="00B23D65" w:rsidP="00BC5E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zakończone leczenie </w:t>
            </w:r>
            <w:proofErr w:type="spellStart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docetakselem</w:t>
            </w:r>
            <w:proofErr w:type="spellEnd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 albo </w:t>
            </w:r>
            <w:r w:rsidR="00B45B42"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decyzja lekarza o </w:t>
            </w:r>
            <w:r w:rsidR="00074CFC"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odstąpieniu od stosowania </w:t>
            </w:r>
            <w:proofErr w:type="spellStart"/>
            <w:r w:rsidR="00074CFC"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docetakselu</w:t>
            </w:r>
            <w:proofErr w:type="spellEnd"/>
            <w:r w:rsidR="007E3BD7"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 </w:t>
            </w: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wraz z jej uzasadnieniem </w:t>
            </w:r>
            <w:r w:rsidR="007E3BD7"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(w przypadku leczenia </w:t>
            </w:r>
            <w:proofErr w:type="spellStart"/>
            <w:r w:rsidR="007E3BD7"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apalutamidem</w:t>
            </w:r>
            <w:proofErr w:type="spellEnd"/>
            <w:r w:rsidR="007E3BD7"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 albo </w:t>
            </w:r>
            <w:proofErr w:type="spellStart"/>
            <w:r w:rsidR="007E3BD7"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enzalutamidem</w:t>
            </w:r>
            <w:proofErr w:type="spellEnd"/>
            <w:r w:rsidR="007E3BD7"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);</w:t>
            </w:r>
          </w:p>
          <w:p w14:paraId="3664D221" w14:textId="77777777" w:rsidR="002D241D" w:rsidRPr="00962E1B" w:rsidRDefault="002D241D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hAnsi="Times New Roman"/>
                <w:sz w:val="20"/>
                <w:szCs w:val="20"/>
              </w:rPr>
              <w:t>brak cech radiologicznej lub biochemicznej progresji u chorych leczonych deprywacją androgenów przed włączeniem do programu;</w:t>
            </w:r>
          </w:p>
          <w:p w14:paraId="54DE10A8" w14:textId="18CC4D78" w:rsidR="002D241D" w:rsidRPr="00962E1B" w:rsidRDefault="002D241D" w:rsidP="00BC5E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obecność przerzutów potwierdzona w badaniu scyntygrafii kości lub przerzutów do tkanek miękkich lub przerzutów trzewnych w badaniach obrazowych (TK/MR)</w:t>
            </w:r>
            <w:r w:rsidR="00D20620"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,</w:t>
            </w: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 w przypadku występowania wyłącznie przerzutów do węzłów chłonnych do programu mogą zakwalifikować się jedynie pacjenci z przerzutami nieregionalnymi (tj. występującymi powyżej rozwidlenia aorty);</w:t>
            </w:r>
          </w:p>
          <w:p w14:paraId="6631E09C" w14:textId="77777777" w:rsidR="002D241D" w:rsidRPr="00962E1B" w:rsidRDefault="002D241D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dopuszczalne jest wcześniejsze leczenie o założeniu radykalnym, w tym stosowanie hormonoterapii uzupełniającej przez maksymalnie 3 lata, o ile została zakończona co najmniej rok wcześniej;</w:t>
            </w:r>
          </w:p>
          <w:p w14:paraId="2282A9E0" w14:textId="77777777" w:rsidR="002D241D" w:rsidRPr="00962E1B" w:rsidRDefault="002D241D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dopuszczalne jest wcześniejsze leczenie deprywacją androgenów (kastracja farmakologiczna lub chirurgiczna), ale nie dłużej niż 6 miesięcy na etapie choroby przerzutowej;</w:t>
            </w:r>
          </w:p>
          <w:p w14:paraId="09BBAAC1" w14:textId="77777777" w:rsidR="002D241D" w:rsidRPr="00962E1B" w:rsidRDefault="002D241D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niestosowanie wcześniejszego leczenia octanem </w:t>
            </w:r>
            <w:proofErr w:type="spellStart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;</w:t>
            </w:r>
          </w:p>
          <w:p w14:paraId="7F926050" w14:textId="43A5F085" w:rsidR="002D241D" w:rsidRPr="00962E1B" w:rsidRDefault="002D241D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niestosowanie leków </w:t>
            </w:r>
            <w:proofErr w:type="spellStart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antyresorpcyjnych</w:t>
            </w:r>
            <w:proofErr w:type="spellEnd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 wpływających na metabolizm kostny (nie dotyczy leków stosowanych w leczeniu </w:t>
            </w:r>
            <w:r w:rsidR="00B23D65"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lub profilaktyce </w:t>
            </w: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osteoporozy);</w:t>
            </w:r>
            <w:r w:rsidRPr="00962E1B">
              <w:rPr>
                <w:rFonts w:ascii="Times New Roman" w:hAnsi="Times New Roman"/>
              </w:rPr>
              <w:t xml:space="preserve"> </w:t>
            </w:r>
          </w:p>
          <w:p w14:paraId="7219C583" w14:textId="77777777" w:rsidR="002D241D" w:rsidRPr="00962E1B" w:rsidRDefault="002D241D" w:rsidP="00BC5E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3EF46B17" w14:textId="28F28C68" w:rsidR="007A055A" w:rsidRPr="00962E1B" w:rsidRDefault="00BE3676" w:rsidP="00BC5EEA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</w:pPr>
            <w:r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Chorych</w:t>
            </w:r>
            <w:r w:rsidR="00F149E9"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na </w:t>
            </w:r>
            <w:r w:rsidR="00D761A4"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opornego na kastrację raka gruczołu krokowego bez przerzutów</w:t>
            </w:r>
            <w:r w:rsidR="007A055A"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proofErr w:type="spellStart"/>
            <w:r w:rsidR="007A055A"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apalutamidem</w:t>
            </w:r>
            <w:proofErr w:type="spellEnd"/>
            <w:r w:rsidR="007A055A"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albo </w:t>
            </w:r>
            <w:proofErr w:type="spellStart"/>
            <w:r w:rsidR="007A055A"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darolutamidem</w:t>
            </w:r>
            <w:proofErr w:type="spellEnd"/>
            <w:r w:rsidR="007A055A"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albo </w:t>
            </w:r>
            <w:proofErr w:type="spellStart"/>
            <w:r w:rsidR="007A055A"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enzalutamidem</w:t>
            </w:r>
            <w:proofErr w:type="spellEnd"/>
          </w:p>
          <w:p w14:paraId="04DDD440" w14:textId="77777777" w:rsidR="007F36A1" w:rsidRPr="00962E1B" w:rsidRDefault="007A055A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stadium oporności na kastrację, określone na podstawie oznaczenia stężenia testosteronu w surowicy wynoszącego 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50 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</w:t>
            </w:r>
            <w:proofErr w:type="spellEnd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/dl lub mniej (tj. wynoszącego 1,7 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nmol</w:t>
            </w:r>
            <w:proofErr w:type="spellEnd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/l lub mniej), u chorych z progresją choroby ocenioną wg kryterium w pkt </w:t>
            </w:r>
            <w:r w:rsidR="002626B6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43D3756F" w14:textId="5D9B2BAB" w:rsidR="007F36A1" w:rsidRPr="00962E1B" w:rsidRDefault="007F36A1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progresja choroby określona na podstawie trzech kolejnych wzrostów stężenia 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PSA, oznaczonego w co najmniej tygodniowych odstępach, z dwoma wzrostami o co najmniej 50% wobec wartości wyjściowej (nadir) i stężenie PSA &gt;2 </w:t>
            </w:r>
            <w:proofErr w:type="spellStart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ng</w:t>
            </w:r>
            <w:proofErr w:type="spellEnd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/ml;</w:t>
            </w:r>
          </w:p>
          <w:p w14:paraId="0ACEFDC2" w14:textId="3CDE4859" w:rsidR="002626B6" w:rsidRPr="00962E1B" w:rsidRDefault="007A055A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brak przerzutów odległych (cecha M0, dopuszczalne są jedynie przerzuty w węzłach chłonnych poniżej rozwidlenia aorty</w:t>
            </w:r>
            <w:r w:rsidR="009930A1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,</w:t>
            </w:r>
            <w:r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o ile w krótkim wymiarze mają mniej niż 2 cm – cecha N1)</w:t>
            </w:r>
            <w:r w:rsidR="00C831A3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na podstawie scyntygrafii kości</w:t>
            </w:r>
            <w:r w:rsidR="00AF079D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oraz</w:t>
            </w:r>
            <w:r w:rsidR="00C831A3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tomografii komputerowej lub rezonansu magnetycznego</w:t>
            </w:r>
            <w:r w:rsidR="004A1B03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lub</w:t>
            </w:r>
            <w:r w:rsidR="00AF079D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C90AA6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rentgenografii</w:t>
            </w:r>
            <w:r w:rsidR="00AF079D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klatki piersiowej</w:t>
            </w:r>
            <w:r w:rsidR="004178CD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;</w:t>
            </w:r>
          </w:p>
          <w:p w14:paraId="390DD727" w14:textId="43139324" w:rsidR="007A055A" w:rsidRPr="00962E1B" w:rsidRDefault="007A055A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>wysokie ryzyko rozwoju przerzutów,</w:t>
            </w:r>
            <w:r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zdefiniowane jako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czas podwojenia stężenia PSA (PSA </w:t>
            </w:r>
            <w:proofErr w:type="spellStart"/>
            <w:r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doubling</w:t>
            </w:r>
            <w:proofErr w:type="spellEnd"/>
            <w:r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proofErr w:type="spellStart"/>
            <w:r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time</w:t>
            </w:r>
            <w:proofErr w:type="spellEnd"/>
            <w:r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– PSA DT) ≤ 10 miesięcy</w:t>
            </w:r>
            <w:r w:rsidR="004178CD"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;</w:t>
            </w:r>
            <w:r w:rsidRPr="00962E1B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</w:p>
          <w:p w14:paraId="61009F06" w14:textId="62905E17" w:rsidR="004506CC" w:rsidRPr="00962E1B" w:rsidRDefault="004506CC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niestosowanie wcześniejszego leczenia octanem 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21C4D50A" w14:textId="010FCFEC" w:rsidR="00740F85" w:rsidRPr="00962E1B" w:rsidRDefault="002626B6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brak napadów padaczkowych w wywiadzie lub innych czynników predysponujących do ich wystąpienia (w przypadku leczenia 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apalutamidem</w:t>
            </w:r>
            <w:proofErr w:type="spellEnd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albo 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enzalutamidem</w:t>
            </w:r>
            <w:proofErr w:type="spellEnd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E46071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56A8361F" w14:textId="77777777" w:rsidR="00E46071" w:rsidRPr="00962E1B" w:rsidRDefault="00E46071" w:rsidP="00BC5EEA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659B6701" w14:textId="69FC452F" w:rsidR="007A055A" w:rsidRPr="00962E1B" w:rsidRDefault="00BE3676" w:rsidP="00BC5EEA">
            <w:pPr>
              <w:pStyle w:val="Akapitzlist"/>
              <w:numPr>
                <w:ilvl w:val="2"/>
                <w:numId w:val="2"/>
              </w:numPr>
              <w:tabs>
                <w:tab w:val="left" w:pos="478"/>
              </w:tabs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</w:pP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Chorych</w:t>
            </w:r>
            <w:r w:rsidR="00F149E9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na</w:t>
            </w: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D761A4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opornego na kastrację raka gruczołu krokowego z przerzutami</w:t>
            </w:r>
            <w:r w:rsidR="00E46DE2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F149E9"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enzalutamidem</w:t>
            </w:r>
            <w:proofErr w:type="spellEnd"/>
            <w:r w:rsidR="00F149E9"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r w:rsidR="00E46DE2"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przed zastosowaniem </w:t>
            </w:r>
            <w:proofErr w:type="spellStart"/>
            <w:r w:rsidR="00663736"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docetakselu</w:t>
            </w:r>
            <w:proofErr w:type="spellEnd"/>
            <w:r w:rsidR="00E74034"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r w:rsidR="00F149E9"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(</w:t>
            </w:r>
            <w:r w:rsidR="002908D9"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gdy zastosowanie chemioterapii nie jest wskazane klinicznie</w:t>
            </w:r>
            <w:r w:rsidR="00F149E9"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)</w:t>
            </w:r>
            <w:r w:rsidR="002908D9"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r w:rsidR="00E46DE2" w:rsidRPr="00962E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lub po zastosowaniu </w:t>
            </w:r>
            <w:proofErr w:type="spellStart"/>
            <w:r w:rsidR="00E46DE2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docetakselu</w:t>
            </w:r>
            <w:proofErr w:type="spellEnd"/>
            <w:r w:rsidR="00E46DE2"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</w:p>
          <w:p w14:paraId="4B974496" w14:textId="5B64B54D" w:rsidR="00E46DE2" w:rsidRPr="00962E1B" w:rsidRDefault="00E46DE2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stadium oporności na kastrację, określone na podstawie oznaczenia stężenia testosteronu w surowicy wynoszącego 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50 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</w:t>
            </w:r>
            <w:proofErr w:type="spellEnd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/dl lub mniej (tj. wynoszącego 1,7 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nmol</w:t>
            </w:r>
            <w:proofErr w:type="spellEnd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/l lub mniej), u chorych z progresją choroby ocenioną wg kryterium w pkt 2;</w:t>
            </w:r>
          </w:p>
          <w:p w14:paraId="02BD75A5" w14:textId="152D297F" w:rsidR="00FD1A72" w:rsidRPr="00962E1B" w:rsidRDefault="007F36A1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progresja choroby określona na podstawie trzech kolejnych wzrostów stężenia PSA, oznaczonego w co najmniej tygodniowych odstępach, z dwoma wzrostami o co najmniej 50% wobec wartości wyjściowej (nadir) i stężenie PSA &gt;2 </w:t>
            </w:r>
            <w:proofErr w:type="spellStart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ng</w:t>
            </w:r>
            <w:proofErr w:type="spellEnd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/ml</w:t>
            </w:r>
          </w:p>
          <w:p w14:paraId="158D2F4E" w14:textId="59F3B942" w:rsidR="00FD1A72" w:rsidRPr="00962E1B" w:rsidRDefault="00E46DE2" w:rsidP="00BC5EEA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lub </w:t>
            </w:r>
          </w:p>
          <w:p w14:paraId="62B05163" w14:textId="30F72D2F" w:rsidR="00A15C0B" w:rsidRPr="00962E1B" w:rsidRDefault="00E46DE2" w:rsidP="00BC5EEA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</w:t>
            </w:r>
            <w:r w:rsidR="00B55C73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zmian (układ kostny, narządy wewnętrzne, tkanki miękkie) w badaniach obrazowych</w:t>
            </w:r>
            <w:r w:rsidR="00083719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3EA21F7A" w14:textId="043829C5" w:rsidR="004506CC" w:rsidRPr="00962E1B" w:rsidRDefault="004506CC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 xml:space="preserve">niestosowanie wcześniejszego leczenia octanem 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="00B54A2E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79A73006" w14:textId="77777777" w:rsidR="00B54A2E" w:rsidRPr="00962E1B" w:rsidRDefault="00B54A2E" w:rsidP="00BC5E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5A74D26B" w14:textId="7D8A35F3" w:rsidR="009051BD" w:rsidRPr="00962E1B" w:rsidRDefault="00BE3676" w:rsidP="00BC5EEA">
            <w:pPr>
              <w:pStyle w:val="Akapitzlist"/>
              <w:widowControl w:val="0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Chorych </w:t>
            </w:r>
            <w:r w:rsidR="00F149E9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na </w:t>
            </w:r>
            <w:r w:rsidR="00D761A4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opornego na kastrację raka gruczołu krokowego</w:t>
            </w:r>
            <w:r w:rsidR="00D761A4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D761A4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z przerzutami</w:t>
            </w:r>
            <w:r w:rsidR="00F149E9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F149E9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kabazytakselem</w:t>
            </w:r>
            <w:proofErr w:type="spellEnd"/>
            <w:r w:rsidR="001869D7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F149E9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(leczonych wcześniej </w:t>
            </w:r>
            <w:proofErr w:type="spellStart"/>
            <w:r w:rsidR="00F149E9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docetakselem</w:t>
            </w:r>
            <w:proofErr w:type="spellEnd"/>
            <w:r w:rsidR="00F149E9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)</w:t>
            </w:r>
          </w:p>
          <w:p w14:paraId="4EB94C08" w14:textId="77777777" w:rsidR="009051BD" w:rsidRPr="00962E1B" w:rsidRDefault="009051BD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stadium oporności na kastrację, określone na podstawie oznaczenia stężenia testosteronu w surowicy wynoszącego 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50 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</w:t>
            </w:r>
            <w:proofErr w:type="spellEnd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/dl lub mniej (tj. wynoszącego 1,7 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nmol</w:t>
            </w:r>
            <w:proofErr w:type="spellEnd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/l lub mniej) u chorych z progresją choroby ocenioną wg kryterium w pkt 2;</w:t>
            </w:r>
          </w:p>
          <w:p w14:paraId="35A69DBB" w14:textId="009DA9C2" w:rsidR="009051BD" w:rsidRPr="00962E1B" w:rsidRDefault="009051BD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progresja choroby określona na podstawie trzech kolejnych wzrostów stężenia PSA, oznaczonego w co najmniej tygodniowych odstępach, z dwoma wzrostami o co najmniej 50% wobec wartości wyjściowej (nadir) i stężenie PSA &gt;2 </w:t>
            </w:r>
            <w:proofErr w:type="spellStart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ng</w:t>
            </w:r>
            <w:proofErr w:type="spellEnd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/ml</w:t>
            </w:r>
          </w:p>
          <w:p w14:paraId="53FDEC12" w14:textId="77777777" w:rsidR="009051BD" w:rsidRPr="00962E1B" w:rsidRDefault="009051BD" w:rsidP="00BC5EEA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lub </w:t>
            </w:r>
          </w:p>
          <w:p w14:paraId="4F563FE9" w14:textId="4550DB62" w:rsidR="009051BD" w:rsidRPr="00962E1B" w:rsidRDefault="009051BD" w:rsidP="00BC5EEA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zmian (układ kostny, narządy wewnętrzne, tkanki miękkie) w badaniach obrazowych;</w:t>
            </w:r>
          </w:p>
          <w:p w14:paraId="3ADEB186" w14:textId="77777777" w:rsidR="009051BD" w:rsidRPr="00962E1B" w:rsidRDefault="009051BD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aktywność aminotransferazy asparaginowej (</w:t>
            </w:r>
            <w:proofErr w:type="spellStart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) nie większa niż 1,5-krotna wartość górnego zakresu normy, a w przypadku niespełnienia tego kryterium konieczne jest zmniejszenie dawki zgodnie z zapisami </w:t>
            </w:r>
            <w:proofErr w:type="spellStart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3734DFD" w14:textId="25681834" w:rsidR="009051BD" w:rsidRPr="00962E1B" w:rsidRDefault="009051BD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stężenie bilirubiny całkowitej w granicach normy, a w przypadku gdy stężenie bilirubiny przekracza wartość górnego zakresu normy, ale nie jest większe niż 3-krotna wartoś</w:t>
            </w:r>
            <w:r w:rsidR="00F1522C" w:rsidRPr="00962E1B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górnego zakresu normy, konieczne jest zmniejszenie dawki zgodnie z zapisami </w:t>
            </w:r>
            <w:proofErr w:type="spellStart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="00715E60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; nie wolno stosować </w:t>
            </w:r>
            <w:r w:rsidR="00303C40" w:rsidRPr="00962E1B">
              <w:rPr>
                <w:rFonts w:ascii="Times New Roman" w:hAnsi="Times New Roman" w:cs="Times New Roman"/>
                <w:sz w:val="20"/>
                <w:szCs w:val="20"/>
              </w:rPr>
              <w:t>leku,</w:t>
            </w:r>
            <w:r w:rsidR="00715E60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gdy stężenie bilirubiny przekracza 3-krotną wartość górnego zakresu normy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0A0CFD1" w14:textId="77777777" w:rsidR="00E46071" w:rsidRPr="00962E1B" w:rsidRDefault="00E46071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152A847D" w14:textId="3A83D3ED" w:rsidR="00E36E5E" w:rsidRPr="00962E1B" w:rsidRDefault="00BE3676" w:rsidP="00BC5EEA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Chorych na</w:t>
            </w:r>
            <w:r w:rsidR="00D761A4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opornego na kastrację raka gruczołu krokowego</w:t>
            </w:r>
            <w:r w:rsidR="00D761A4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D761A4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z przerzutami</w:t>
            </w:r>
            <w:r w:rsidR="00F149E9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E36E5E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olaparybem</w:t>
            </w:r>
            <w:proofErr w:type="spellEnd"/>
          </w:p>
          <w:p w14:paraId="1B2961B1" w14:textId="77777777" w:rsidR="00E36E5E" w:rsidRPr="00962E1B" w:rsidRDefault="00E36E5E" w:rsidP="00BC5E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stadium oporności na kastrację, określone na podstawie oznaczenia stężenia testosteronu w surowicy wynoszącego 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50 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</w:t>
            </w:r>
            <w:proofErr w:type="spellEnd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/dl lub mniej (tj. wynoszącego 1,7 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nmol</w:t>
            </w:r>
            <w:proofErr w:type="spellEnd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/l lub mniej), u chorych z progresją choroby ocenioną wg kryterium w pkt 2;</w:t>
            </w:r>
          </w:p>
          <w:p w14:paraId="1D957235" w14:textId="7685E29E" w:rsidR="00E36E5E" w:rsidRPr="00962E1B" w:rsidRDefault="00E36E5E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progresja choroby określona na podstawie trzech kolejnych wzrostów stężenia PSA, oznaczonego w co najmniej tygodniowych odstępach, z dwoma wzrostami o co najmniej 50% wobec wartości wyjściowej (nadir) i stężenie PSA &gt;2 </w:t>
            </w:r>
            <w:proofErr w:type="spellStart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ng</w:t>
            </w:r>
            <w:proofErr w:type="spellEnd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/ml</w:t>
            </w:r>
          </w:p>
          <w:p w14:paraId="094B29DB" w14:textId="77777777" w:rsidR="00E36E5E" w:rsidRPr="00962E1B" w:rsidRDefault="00E36E5E" w:rsidP="00BC5EEA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lub </w:t>
            </w:r>
          </w:p>
          <w:p w14:paraId="3E5D36BA" w14:textId="4E8C8F99" w:rsidR="001869D7" w:rsidRPr="00962E1B" w:rsidRDefault="00E36E5E" w:rsidP="00BC5EEA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zmian (układ kostny, narządy wewnętrzne, tkanki miękkie) w badaniach obrazowych;</w:t>
            </w:r>
          </w:p>
          <w:p w14:paraId="692577F3" w14:textId="79C6D039" w:rsidR="001869D7" w:rsidRPr="00962E1B" w:rsidRDefault="001869D7" w:rsidP="00BC5E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progresj</w:t>
            </w:r>
            <w:r w:rsidR="00715E60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a</w:t>
            </w:r>
            <w:r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choroby podczas terapii lekiem hormonalnym nowej generacji (możliwe wcześniejsze </w:t>
            </w:r>
            <w:r w:rsidR="00E46071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zas</w:t>
            </w:r>
            <w:r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tosowanie </w:t>
            </w:r>
            <w:proofErr w:type="spellStart"/>
            <w:r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docetakselu</w:t>
            </w:r>
            <w:proofErr w:type="spellEnd"/>
            <w:r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lub </w:t>
            </w:r>
            <w:proofErr w:type="spellStart"/>
            <w:r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kabazytakselu</w:t>
            </w:r>
            <w:proofErr w:type="spellEnd"/>
            <w:r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przed lub po leku hormonalnym nowej generacji, o ile stwierdzono nieskuteczność chemioterapii)</w:t>
            </w:r>
            <w:r w:rsidR="00B54A2E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1FB9E91F" w14:textId="016DB781" w:rsidR="00E36E5E" w:rsidRPr="00962E1B" w:rsidRDefault="00E36E5E" w:rsidP="00BC5E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obecność patogennej lub prawdopodobnie patogennej mutacji (</w:t>
            </w:r>
            <w:proofErr w:type="spellStart"/>
            <w:r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germinalnej</w:t>
            </w:r>
            <w:proofErr w:type="spellEnd"/>
            <w:r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lub somatycznej) w genie </w:t>
            </w:r>
            <w:r w:rsidRPr="00962E1B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lang w:bidi="pl-PL"/>
              </w:rPr>
              <w:t>BRCA1</w:t>
            </w:r>
            <w:r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lub </w:t>
            </w:r>
            <w:r w:rsidRPr="00962E1B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lang w:bidi="pl-PL"/>
              </w:rPr>
              <w:t>BRCA2</w:t>
            </w:r>
            <w:r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5A93281C" w14:textId="31C8C2A0" w:rsidR="00CA530A" w:rsidRPr="00962E1B" w:rsidRDefault="00E36E5E" w:rsidP="00BC5E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u </w:t>
            </w:r>
            <w:r w:rsidR="00CA530A" w:rsidRPr="00962E1B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klirensem</w:t>
            </w:r>
            <w:proofErr w:type="spellEnd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kreatyniny 31-50 ml/min należy zmniejszyć dawkę leku zgodnie z </w:t>
            </w:r>
            <w:proofErr w:type="spellStart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, nie wolno stosować leku, kiedy </w:t>
            </w:r>
            <w:proofErr w:type="spellStart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klirens</w:t>
            </w:r>
            <w:proofErr w:type="spellEnd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wynosi 30 ml/min lub mniej</w:t>
            </w:r>
            <w:r w:rsidR="00802583" w:rsidRPr="00962E1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A727FF9" w14:textId="77777777" w:rsidR="007243BA" w:rsidRPr="00962E1B" w:rsidRDefault="007243BA" w:rsidP="00BC5EEA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</w:p>
          <w:p w14:paraId="0F7877E0" w14:textId="77777777" w:rsidR="00801309" w:rsidRPr="00962E1B" w:rsidRDefault="00801309" w:rsidP="00BC5EEA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>Chorych na opornego na kastrację raka gruczołu krokowego</w:t>
            </w: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 </w:t>
            </w:r>
            <w:r w:rsidRPr="00962E1B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 xml:space="preserve">z przerzutami </w:t>
            </w:r>
            <w:proofErr w:type="spellStart"/>
            <w:r w:rsidRPr="00962E1B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>dichlorkiem</w:t>
            </w:r>
            <w:proofErr w:type="spellEnd"/>
            <w:r w:rsidRPr="00962E1B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 xml:space="preserve"> radu-223</w:t>
            </w:r>
          </w:p>
          <w:p w14:paraId="1B9B88D8" w14:textId="77777777" w:rsidR="00801309" w:rsidRPr="00962E1B" w:rsidRDefault="00801309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hAnsi="Times New Roman"/>
                <w:sz w:val="20"/>
                <w:szCs w:val="20"/>
              </w:rPr>
              <w:t xml:space="preserve">stadium oporności na kastrację, określone na podstawie oznaczenia stężenia testosteronu w surowicy wynoszącego </w:t>
            </w: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50 </w:t>
            </w:r>
            <w:proofErr w:type="spellStart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ng</w:t>
            </w:r>
            <w:proofErr w:type="spellEnd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/dl lub mniej (tj. wynoszącego 1,7 </w:t>
            </w:r>
            <w:proofErr w:type="spellStart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nmol</w:t>
            </w:r>
            <w:proofErr w:type="spellEnd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/l lub mniej), u chorych z progresją choroby ocenioną wg kryterium w pkt 2;</w:t>
            </w:r>
          </w:p>
          <w:p w14:paraId="38DD9059" w14:textId="77777777" w:rsidR="00801309" w:rsidRPr="00962E1B" w:rsidRDefault="00801309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hAnsi="Times New Roman"/>
                <w:sz w:val="20"/>
                <w:szCs w:val="20"/>
              </w:rPr>
              <w:t xml:space="preserve">progresja choroby określona na podstawie trzech kolejnych wzrostów stężenia PSA, oznaczonego w co najmniej tygodniowych odstępach, z dwoma wzrostami o co najmniej 50% wobec wartości wyjściowej (nadir) i stężenie PSA &gt;2 </w:t>
            </w:r>
            <w:proofErr w:type="spellStart"/>
            <w:r w:rsidRPr="00962E1B">
              <w:rPr>
                <w:rFonts w:ascii="Times New Roman" w:hAnsi="Times New Roman"/>
                <w:sz w:val="20"/>
                <w:szCs w:val="20"/>
              </w:rPr>
              <w:t>ng</w:t>
            </w:r>
            <w:proofErr w:type="spellEnd"/>
            <w:r w:rsidRPr="00962E1B">
              <w:rPr>
                <w:rFonts w:ascii="Times New Roman" w:hAnsi="Times New Roman"/>
                <w:sz w:val="20"/>
                <w:szCs w:val="20"/>
              </w:rPr>
              <w:t>/ml,</w:t>
            </w:r>
          </w:p>
          <w:p w14:paraId="26F783EB" w14:textId="77777777" w:rsidR="00801309" w:rsidRPr="00962E1B" w:rsidRDefault="00801309" w:rsidP="00BC5EEA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lub </w:t>
            </w:r>
          </w:p>
          <w:p w14:paraId="008CA332" w14:textId="77777777" w:rsidR="00801309" w:rsidRPr="00962E1B" w:rsidRDefault="00801309" w:rsidP="00BC5EEA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progresja zmian </w:t>
            </w:r>
            <w:r w:rsidRPr="00962E1B">
              <w:rPr>
                <w:rFonts w:ascii="Times New Roman" w:hAnsi="Times New Roman"/>
                <w:sz w:val="20"/>
                <w:szCs w:val="20"/>
              </w:rPr>
              <w:t>w układzie kostnym w badaniach obrazowych</w:t>
            </w: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;</w:t>
            </w:r>
          </w:p>
          <w:p w14:paraId="2E5D59F5" w14:textId="77777777" w:rsidR="00801309" w:rsidRPr="00962E1B" w:rsidRDefault="00801309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bookmarkStart w:id="2" w:name="_Hlk114037014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progresja po uprzednim zastosowaniu, z powodu przerzutowego raka </w:t>
            </w: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lastRenderedPageBreak/>
              <w:t xml:space="preserve">gruczołu krokowego,  hormonoterapii lekiem nowej generacji (nowe antyandrogeny lub octan </w:t>
            </w:r>
            <w:proofErr w:type="spellStart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) i chemioterapii albo brak możliwości lub  medycznego uzasadnienia do ich zastosowania;</w:t>
            </w:r>
          </w:p>
          <w:p w14:paraId="4E50C699" w14:textId="0A990F7E" w:rsidR="00801309" w:rsidRPr="00962E1B" w:rsidRDefault="00801309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 w:bidi="pl-PL"/>
              </w:rPr>
              <w:t xml:space="preserve">potwierdzenie w badaniu scyntygraficznym obecności co najmniej 6 przerzutów do kości (w szczególnych przypadkach lekarz może podjąć decyzję o włączeniu </w:t>
            </w:r>
            <w:proofErr w:type="spellStart"/>
            <w:r w:rsidR="00011344" w:rsidRPr="00962E1B">
              <w:rPr>
                <w:rFonts w:ascii="Times New Roman" w:eastAsia="SimSun" w:hAnsi="Times New Roman"/>
                <w:sz w:val="20"/>
                <w:szCs w:val="20"/>
                <w:lang w:eastAsia="zh-CN" w:bidi="pl-PL"/>
              </w:rPr>
              <w:t>dichlorku</w:t>
            </w:r>
            <w:proofErr w:type="spellEnd"/>
            <w:r w:rsidR="00011344" w:rsidRPr="00962E1B">
              <w:rPr>
                <w:rFonts w:ascii="Times New Roman" w:eastAsia="SimSun" w:hAnsi="Times New Roman"/>
                <w:sz w:val="20"/>
                <w:szCs w:val="20"/>
                <w:lang w:eastAsia="zh-CN" w:bidi="pl-PL"/>
              </w:rPr>
              <w:t xml:space="preserve"> radu-223</w:t>
            </w:r>
            <w:r w:rsidRPr="00962E1B">
              <w:rPr>
                <w:rFonts w:ascii="Times New Roman" w:eastAsia="SimSun" w:hAnsi="Times New Roman"/>
                <w:sz w:val="20"/>
                <w:szCs w:val="20"/>
                <w:lang w:eastAsia="zh-CN" w:bidi="pl-PL"/>
              </w:rPr>
              <w:t xml:space="preserve"> u pacjenta z liczbą przerzutów 4-5, jeżeli cechy choroby przemawiają za dużą szansą pozytywnego działania tej terapii po ocenie stanu kości (scyntygrafią, pomiarem gęstości mineralnej kości) oraz ocenie ryzyka złamań;</w:t>
            </w:r>
          </w:p>
          <w:bookmarkEnd w:id="2"/>
          <w:p w14:paraId="0BDFC293" w14:textId="77777777" w:rsidR="00801309" w:rsidRPr="00962E1B" w:rsidRDefault="00801309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hAnsi="Times New Roman"/>
                <w:sz w:val="20"/>
                <w:szCs w:val="20"/>
              </w:rPr>
              <w:t>nieobecność przerzutów do narządów wewnętrznych z wyjątkiem przerzutów do węzłów chłonnych o wymiarze mniejszym lub równym 3 cm w osi krótkiej</w:t>
            </w:r>
            <w:r w:rsidRPr="00962E1B">
              <w:rPr>
                <w:rFonts w:ascii="Times New Roman" w:hAnsi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22383B40" w14:textId="0C0E0E67" w:rsidR="00801309" w:rsidRPr="00962E1B" w:rsidRDefault="00287530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brak</w:t>
            </w:r>
            <w:r w:rsidR="00801309"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 klinicznie istotnych działań niepożądanych stanowiących przeciwskazanie do terapii </w:t>
            </w:r>
            <w:proofErr w:type="spellStart"/>
            <w:r w:rsidR="00801309"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dichlorkiem</w:t>
            </w:r>
            <w:proofErr w:type="spellEnd"/>
            <w:r w:rsidR="00801309"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 radu-223</w:t>
            </w: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 po wcześniejszym leczeniu chemioterapią lub </w:t>
            </w:r>
            <w:proofErr w:type="spellStart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olaparybem</w:t>
            </w:r>
            <w:proofErr w:type="spellEnd"/>
            <w:r w:rsidR="00801309"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;</w:t>
            </w:r>
          </w:p>
          <w:p w14:paraId="6245C26A" w14:textId="77777777" w:rsidR="00801309" w:rsidRPr="00962E1B" w:rsidRDefault="00801309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bóle kostne wymagające:</w:t>
            </w:r>
          </w:p>
          <w:p w14:paraId="2940573E" w14:textId="77777777" w:rsidR="00801309" w:rsidRPr="00962E1B" w:rsidRDefault="00801309" w:rsidP="00BC5EEA">
            <w:pPr>
              <w:pStyle w:val="Akapitzlist"/>
              <w:widowControl w:val="0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stałego stosowania leków przeciwbólowych, w sposób zgodny z zasadami postępowania w leczeniu bólu pochodzenia nowotworowego, </w:t>
            </w:r>
          </w:p>
          <w:p w14:paraId="245FAD3B" w14:textId="77777777" w:rsidR="00801309" w:rsidRPr="00962E1B" w:rsidRDefault="00801309" w:rsidP="00BC5EEA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lub </w:t>
            </w:r>
          </w:p>
          <w:p w14:paraId="058583C2" w14:textId="3A067044" w:rsidR="00801309" w:rsidRPr="00962E1B" w:rsidRDefault="00801309" w:rsidP="00BC5EEA">
            <w:pPr>
              <w:pStyle w:val="Akapitzlist"/>
              <w:widowControl w:val="0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paliatywnej radioterapii, która została przeprowadzona nie </w:t>
            </w:r>
            <w:r w:rsidR="00D301C1"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później</w:t>
            </w: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 niż 12 tygodni przed zakwalifikowaniem do leczenia </w:t>
            </w:r>
            <w:proofErr w:type="spellStart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dichlorkiem</w:t>
            </w:r>
            <w:proofErr w:type="spellEnd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 radu-223;</w:t>
            </w:r>
          </w:p>
          <w:p w14:paraId="6E1C5C5A" w14:textId="77777777" w:rsidR="00801309" w:rsidRPr="00962E1B" w:rsidRDefault="00801309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niestosowanie wcześniej leczenia z wykorzystaniem strontu-89, samaru-153, renu-186 lub renu-188 w okresie 24 tygodni przed rozpoczęciem leczenia </w:t>
            </w:r>
            <w:proofErr w:type="spellStart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dichlorkiem</w:t>
            </w:r>
            <w:proofErr w:type="spellEnd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 radu-223;</w:t>
            </w:r>
          </w:p>
          <w:p w14:paraId="510FCF59" w14:textId="77777777" w:rsidR="00801309" w:rsidRPr="00962E1B" w:rsidRDefault="00801309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niestosowanie jednoczasowo innego systemowego leczenia przeciwnowotworowego z wyjątkiem farmakologicznego leczenia kastracyjnego (analogiem lub antagonistą LHRH); </w:t>
            </w:r>
          </w:p>
          <w:p w14:paraId="66925D79" w14:textId="77777777" w:rsidR="00801309" w:rsidRPr="00962E1B" w:rsidRDefault="00801309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nieobecność kompresji rdzenia kręgowego potwierdzonej badaniem klinicznym lub badaniem rezonansu magnetycznego, wymagającej zaopatrzenia miejscowego lub radioterapii (leczenie może zostać podjęte po zakończeniu skutecznego leczenia miejscowego);</w:t>
            </w:r>
          </w:p>
          <w:p w14:paraId="1818EA7D" w14:textId="77777777" w:rsidR="00801309" w:rsidRPr="00962E1B" w:rsidRDefault="00801309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lastRenderedPageBreak/>
              <w:t>nieobecność jakiegokolwiek z następujących schorzeń współistniejących:</w:t>
            </w:r>
          </w:p>
          <w:p w14:paraId="0EE876BC" w14:textId="77777777" w:rsidR="00801309" w:rsidRPr="00962E1B" w:rsidRDefault="00801309" w:rsidP="00BC5EEA">
            <w:pPr>
              <w:pStyle w:val="Akapitzlist"/>
              <w:widowControl w:val="0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niekontrolowana infekcja,</w:t>
            </w:r>
          </w:p>
          <w:p w14:paraId="071FBC0E" w14:textId="77777777" w:rsidR="00801309" w:rsidRPr="00962E1B" w:rsidRDefault="00801309" w:rsidP="00BC5EEA">
            <w:pPr>
              <w:pStyle w:val="Akapitzlist"/>
              <w:widowControl w:val="0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niewydolność serca w stopniu III lub IV NYHA, </w:t>
            </w:r>
          </w:p>
          <w:p w14:paraId="677E0993" w14:textId="77777777" w:rsidR="00801309" w:rsidRPr="00962E1B" w:rsidRDefault="00801309" w:rsidP="00BC5EEA">
            <w:pPr>
              <w:pStyle w:val="Akapitzlist"/>
              <w:widowControl w:val="0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choroba </w:t>
            </w:r>
            <w:proofErr w:type="spellStart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Crohna</w:t>
            </w:r>
            <w:proofErr w:type="spellEnd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 lub wrzodziejące zapalenie jelita grubego, </w:t>
            </w:r>
          </w:p>
          <w:p w14:paraId="694237D9" w14:textId="77777777" w:rsidR="00801309" w:rsidRPr="00962E1B" w:rsidRDefault="00801309" w:rsidP="00BC5EEA">
            <w:pPr>
              <w:pStyle w:val="Akapitzlist"/>
              <w:widowControl w:val="0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hAnsi="Times New Roman"/>
                <w:sz w:val="20"/>
                <w:szCs w:val="20"/>
              </w:rPr>
              <w:t xml:space="preserve">zespół </w:t>
            </w:r>
            <w:proofErr w:type="spellStart"/>
            <w:r w:rsidRPr="00962E1B">
              <w:rPr>
                <w:rFonts w:ascii="Times New Roman" w:hAnsi="Times New Roman"/>
                <w:sz w:val="20"/>
                <w:szCs w:val="20"/>
              </w:rPr>
              <w:t>mielodysplastyczny</w:t>
            </w:r>
            <w:proofErr w:type="spellEnd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,</w:t>
            </w:r>
          </w:p>
          <w:p w14:paraId="2C656BCE" w14:textId="77777777" w:rsidR="00801309" w:rsidRPr="00962E1B" w:rsidRDefault="00801309" w:rsidP="00BC5EEA">
            <w:pPr>
              <w:pStyle w:val="Akapitzlist"/>
              <w:widowControl w:val="0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problemy z utrzymaniem stolca.</w:t>
            </w:r>
          </w:p>
          <w:p w14:paraId="43F7AB6E" w14:textId="77777777" w:rsidR="00801309" w:rsidRPr="00962E1B" w:rsidRDefault="00801309" w:rsidP="00BC5EEA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</w:p>
          <w:p w14:paraId="20E32128" w14:textId="094E0233" w:rsidR="007243BA" w:rsidRPr="00962E1B" w:rsidRDefault="007243BA" w:rsidP="00BC5EE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Ponadto do programu lekowego kwalifikowani są również pacjenci wymagający kontynuacji leczenia, którzy byli leczeni substancjami czynnymi finansowanymi w programie lekowym w ramach innego sposobu finansowania terapii, </w:t>
            </w:r>
            <w:r w:rsidR="00801309" w:rsidRPr="00962E1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za wyjątkiem trwających badań klinicznych tych leków</w:t>
            </w:r>
            <w:r w:rsidR="00801309" w:rsidRPr="00962E1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, pod warunkiem, że w chwili rozpoczęcia leczenia spełniali kryteria kwalifikacji do programu lekowego.</w:t>
            </w:r>
          </w:p>
          <w:p w14:paraId="047F3045" w14:textId="77777777" w:rsidR="00D658D8" w:rsidRPr="00962E1B" w:rsidRDefault="00D658D8" w:rsidP="00BC5E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D68547E" w14:textId="38B3959D" w:rsidR="00904B9D" w:rsidRPr="00962E1B" w:rsidRDefault="00904B9D" w:rsidP="00BC5EE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62E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Czas leczenia w programie</w:t>
            </w:r>
          </w:p>
          <w:p w14:paraId="5CC05059" w14:textId="4E4FAECA" w:rsidR="00801309" w:rsidRPr="00962E1B" w:rsidRDefault="00FB55D4" w:rsidP="00BC5EE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Hlk125722377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1B68C0" w:rsidRPr="00962E1B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0D62D3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8C0" w:rsidRPr="00962E1B">
              <w:rPr>
                <w:rFonts w:ascii="Times New Roman" w:hAnsi="Times New Roman" w:cs="Times New Roman"/>
                <w:sz w:val="20"/>
                <w:szCs w:val="20"/>
              </w:rPr>
              <w:t>trwa do czasu podjęcia przez lekarza prowadzącego decyzji o wyłączeniu świadczeniobiorcy z programu, zgodnie z kryteriami wyłączenia</w:t>
            </w:r>
            <w:bookmarkEnd w:id="3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, o których mowa w pkt 3, </w:t>
            </w:r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jednak z zastrzeżeniem, iż w przypadku terapii </w:t>
            </w:r>
            <w:proofErr w:type="spellStart"/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>dichlorkiem</w:t>
            </w:r>
            <w:proofErr w:type="spellEnd"/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radu-223 leczenie </w:t>
            </w:r>
            <w:r w:rsidR="00801309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obejmuje 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maksymalnie </w:t>
            </w:r>
            <w:r w:rsidR="00801309" w:rsidRPr="00962E1B">
              <w:rPr>
                <w:rFonts w:ascii="Times New Roman" w:hAnsi="Times New Roman" w:cs="Times New Roman"/>
                <w:sz w:val="20"/>
                <w:szCs w:val="20"/>
              </w:rPr>
              <w:t>6 podań leku wykonywanych w odstępach 4 tygodni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ACD893E" w14:textId="77777777" w:rsidR="00D658D8" w:rsidRPr="00962E1B" w:rsidRDefault="00D658D8" w:rsidP="00BC5EEA">
            <w:pPr>
              <w:spacing w:after="60" w:line="276" w:lineRule="auto"/>
            </w:pPr>
          </w:p>
          <w:p w14:paraId="498ACBC5" w14:textId="7B6499AC" w:rsidR="003A6A07" w:rsidRPr="00962E1B" w:rsidRDefault="003A6A07" w:rsidP="00BC5EE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Kryteria wy</w:t>
            </w:r>
            <w:r w:rsidR="006B377A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łączenia</w:t>
            </w: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z programu</w:t>
            </w:r>
          </w:p>
          <w:p w14:paraId="377B7C10" w14:textId="600505AB" w:rsidR="00D5612B" w:rsidRPr="00962E1B" w:rsidRDefault="00D5612B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progresja choroby w trakcie stosowania leku, definiowana według następujących kryteriów: </w:t>
            </w:r>
          </w:p>
          <w:p w14:paraId="419596B8" w14:textId="4E814ADE" w:rsidR="002B3AD8" w:rsidRPr="00962E1B" w:rsidRDefault="002B3AD8" w:rsidP="00BC5EEA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progresji choroby określonej na podstawie trzech kolejnych wzrostów stężenia PSA, oznaczonego w co najmniej tygodniowych odstępach, z dwoma wzrostami o co najmniej 50% wobec najniższej wartości osiągniętej w trakcie terapii (nadir) i stężenie PSA &gt;2 </w:t>
            </w:r>
            <w:proofErr w:type="spellStart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ng</w:t>
            </w:r>
            <w:proofErr w:type="spellEnd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/ml, chyba że lekarz prowadzący uzna, że leczenie przynosi udokumentowaną korzyść kliniczną i nieuzasadnione jest (albo niemożliwe) zastosowanie terapii kolejnej linii</w:t>
            </w:r>
          </w:p>
          <w:p w14:paraId="72B25E50" w14:textId="06A34B8A" w:rsidR="0073533D" w:rsidRPr="00962E1B" w:rsidRDefault="0073533D" w:rsidP="00BC5EEA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7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lub</w:t>
            </w:r>
          </w:p>
          <w:p w14:paraId="3FD91EFF" w14:textId="1CE9C736" w:rsidR="0073533D" w:rsidRPr="00962E1B" w:rsidRDefault="00541E1B" w:rsidP="00BC5EEA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progresji choroby ustalonej na podstawie aktualnej klasyfikacji RECIST (dla zmian w tkankach miękkich) lub PCWG (dla zmian w układzie kostnym);</w:t>
            </w:r>
          </w:p>
          <w:p w14:paraId="3D2114A2" w14:textId="70EA977B" w:rsidR="00437501" w:rsidRPr="00962E1B" w:rsidRDefault="00B874E8" w:rsidP="00BC5E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utrzymujące się </w:t>
            </w:r>
            <w:r w:rsidR="00246D05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pogorszenie </w:t>
            </w:r>
            <w:r w:rsidR="001578E7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stanu </w:t>
            </w:r>
            <w:r w:rsidR="00246D05" w:rsidRPr="00962E1B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DC1BBE" w:rsidRPr="00962E1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4C226C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FA65A29" w14:textId="3DBD92AC" w:rsidR="00541E1B" w:rsidRPr="00962E1B" w:rsidRDefault="00DC1BBE" w:rsidP="00BC5EEA">
            <w:pPr>
              <w:pStyle w:val="Akapitzlist"/>
              <w:numPr>
                <w:ilvl w:val="4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do stopnia 2-</w:t>
            </w:r>
            <w:r w:rsidR="0061756B" w:rsidRPr="00962E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62E1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541E1B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według ECOG w przypadku leczenia </w:t>
            </w:r>
            <w:proofErr w:type="spellStart"/>
            <w:r w:rsidR="00541E1B" w:rsidRPr="00962E1B">
              <w:rPr>
                <w:rFonts w:ascii="Times New Roman" w:hAnsi="Times New Roman" w:cs="Times New Roman"/>
                <w:sz w:val="20"/>
                <w:szCs w:val="20"/>
              </w:rPr>
              <w:t>apalutamidem</w:t>
            </w:r>
            <w:proofErr w:type="spellEnd"/>
            <w:r w:rsidR="0004714F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04714F" w:rsidRPr="00962E1B">
              <w:rPr>
                <w:rFonts w:ascii="Times New Roman" w:hAnsi="Times New Roman" w:cs="Times New Roman"/>
                <w:sz w:val="20"/>
                <w:szCs w:val="20"/>
              </w:rPr>
              <w:t>darolutamidem</w:t>
            </w:r>
            <w:proofErr w:type="spellEnd"/>
            <w:r w:rsidR="00541E1B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541E1B" w:rsidRPr="00962E1B">
              <w:rPr>
                <w:rFonts w:ascii="Times New Roman" w:hAnsi="Times New Roman" w:cs="Times New Roman"/>
                <w:sz w:val="20"/>
                <w:szCs w:val="20"/>
              </w:rPr>
              <w:t>nmCRPC</w:t>
            </w:r>
            <w:proofErr w:type="spellEnd"/>
            <w:r w:rsidR="00541E1B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="00541E1B" w:rsidRPr="00962E1B">
              <w:rPr>
                <w:rFonts w:ascii="Times New Roman" w:hAnsi="Times New Roman" w:cs="Times New Roman"/>
                <w:sz w:val="20"/>
                <w:szCs w:val="20"/>
              </w:rPr>
              <w:t>enzalutamidem</w:t>
            </w:r>
            <w:proofErr w:type="spellEnd"/>
            <w:r w:rsidR="00541E1B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541E1B" w:rsidRPr="00962E1B">
              <w:rPr>
                <w:rFonts w:ascii="Times New Roman" w:hAnsi="Times New Roman" w:cs="Times New Roman"/>
                <w:sz w:val="20"/>
                <w:szCs w:val="20"/>
              </w:rPr>
              <w:t>nmCRPC</w:t>
            </w:r>
            <w:proofErr w:type="spellEnd"/>
            <w:r w:rsidR="00541E1B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="00541E1B" w:rsidRPr="00962E1B">
              <w:rPr>
                <w:rFonts w:ascii="Times New Roman" w:hAnsi="Times New Roman" w:cs="Times New Roman"/>
                <w:sz w:val="20"/>
                <w:szCs w:val="20"/>
              </w:rPr>
              <w:t>mCRPC</w:t>
            </w:r>
            <w:proofErr w:type="spellEnd"/>
            <w:r w:rsidR="00541E1B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przed podaniem </w:t>
            </w:r>
            <w:proofErr w:type="spellStart"/>
            <w:r w:rsidR="00541E1B" w:rsidRPr="00962E1B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="00541E1B" w:rsidRPr="00962E1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4714F" w:rsidRPr="00962E1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FA26536" w14:textId="4C354FA6" w:rsidR="00DC1BBE" w:rsidRPr="00962E1B" w:rsidRDefault="005A6FC7" w:rsidP="00BC5EEA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D6031D8" w14:textId="77534904" w:rsidR="00B2401D" w:rsidRPr="00962E1B" w:rsidRDefault="00DC1BBE" w:rsidP="00BC5EEA">
            <w:pPr>
              <w:pStyle w:val="Akapitzlist"/>
              <w:numPr>
                <w:ilvl w:val="4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do stopnia</w:t>
            </w:r>
            <w:r w:rsidRPr="00962E1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3-4 </w:t>
            </w:r>
            <w:r w:rsidR="00B2401D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według ECOG w przypadku leczenia </w:t>
            </w:r>
            <w:proofErr w:type="spellStart"/>
            <w:r w:rsidR="002C6246" w:rsidRPr="00962E1B">
              <w:rPr>
                <w:rFonts w:ascii="Times New Roman" w:hAnsi="Times New Roman" w:cs="Times New Roman"/>
                <w:sz w:val="20"/>
                <w:szCs w:val="20"/>
              </w:rPr>
              <w:t>apalutamidem</w:t>
            </w:r>
            <w:proofErr w:type="spellEnd"/>
            <w:r w:rsidR="002C6246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2C6246" w:rsidRPr="00962E1B">
              <w:rPr>
                <w:rFonts w:ascii="Times New Roman" w:hAnsi="Times New Roman" w:cs="Times New Roman"/>
                <w:sz w:val="20"/>
                <w:szCs w:val="20"/>
              </w:rPr>
              <w:t>mHSPC</w:t>
            </w:r>
            <w:proofErr w:type="spellEnd"/>
            <w:r w:rsidR="002C6246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="00E94001" w:rsidRPr="00962E1B">
              <w:rPr>
                <w:rFonts w:ascii="Times New Roman" w:hAnsi="Times New Roman" w:cs="Times New Roman"/>
                <w:sz w:val="20"/>
                <w:szCs w:val="20"/>
              </w:rPr>
              <w:t>darolutamidem</w:t>
            </w:r>
            <w:proofErr w:type="spellEnd"/>
            <w:r w:rsidR="00E94001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E94001" w:rsidRPr="00962E1B">
              <w:rPr>
                <w:rFonts w:ascii="Times New Roman" w:hAnsi="Times New Roman" w:cs="Times New Roman"/>
                <w:sz w:val="20"/>
                <w:szCs w:val="20"/>
              </w:rPr>
              <w:t>mHSPC</w:t>
            </w:r>
            <w:proofErr w:type="spellEnd"/>
            <w:r w:rsidR="00E94001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="00B2401D" w:rsidRPr="00962E1B">
              <w:rPr>
                <w:rFonts w:ascii="Times New Roman" w:hAnsi="Times New Roman" w:cs="Times New Roman"/>
                <w:sz w:val="20"/>
                <w:szCs w:val="20"/>
              </w:rPr>
              <w:t>enzalutamidem</w:t>
            </w:r>
            <w:proofErr w:type="spellEnd"/>
            <w:r w:rsidR="00B2401D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E94001" w:rsidRPr="00962E1B">
              <w:rPr>
                <w:rFonts w:ascii="Times New Roman" w:hAnsi="Times New Roman" w:cs="Times New Roman"/>
                <w:sz w:val="20"/>
                <w:szCs w:val="20"/>
              </w:rPr>
              <w:t>mHSPC</w:t>
            </w:r>
            <w:proofErr w:type="spellEnd"/>
            <w:r w:rsidR="00E94001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B2401D" w:rsidRPr="00962E1B">
              <w:rPr>
                <w:rFonts w:ascii="Times New Roman" w:hAnsi="Times New Roman" w:cs="Times New Roman"/>
                <w:sz w:val="20"/>
                <w:szCs w:val="20"/>
              </w:rPr>
              <w:t>mCRPC</w:t>
            </w:r>
            <w:proofErr w:type="spellEnd"/>
            <w:r w:rsidR="00B2401D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714F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po wcześniejszym leczeniu </w:t>
            </w:r>
            <w:proofErr w:type="spellStart"/>
            <w:r w:rsidR="0004714F" w:rsidRPr="00962E1B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="00B2401D" w:rsidRPr="00962E1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4714F" w:rsidRPr="00962E1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2401D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401D" w:rsidRPr="00962E1B">
              <w:rPr>
                <w:rFonts w:ascii="Times New Roman" w:hAnsi="Times New Roman" w:cs="Times New Roman"/>
                <w:sz w:val="20"/>
                <w:szCs w:val="20"/>
              </w:rPr>
              <w:t>kabazytakselem</w:t>
            </w:r>
            <w:proofErr w:type="spellEnd"/>
            <w:r w:rsidR="00B2401D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B2401D" w:rsidRPr="00962E1B">
              <w:rPr>
                <w:rFonts w:ascii="Times New Roman" w:hAnsi="Times New Roman" w:cs="Times New Roman"/>
                <w:sz w:val="20"/>
                <w:szCs w:val="20"/>
              </w:rPr>
              <w:t>olaparybem</w:t>
            </w:r>
            <w:proofErr w:type="spellEnd"/>
            <w:r w:rsidR="007124FD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7124FD" w:rsidRPr="00962E1B">
              <w:rPr>
                <w:rFonts w:ascii="Times New Roman" w:hAnsi="Times New Roman" w:cs="Times New Roman"/>
                <w:sz w:val="20"/>
                <w:szCs w:val="20"/>
              </w:rPr>
              <w:t>dichlorkiem</w:t>
            </w:r>
            <w:proofErr w:type="spellEnd"/>
            <w:r w:rsidR="007124FD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radu-223;</w:t>
            </w:r>
          </w:p>
          <w:p w14:paraId="2DB0045F" w14:textId="5B85BD04" w:rsidR="00C50CDC" w:rsidRPr="00962E1B" w:rsidRDefault="005E2726" w:rsidP="00BC5E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wystąpienie objawów nadwrażliwości na którykolwiek ze stosowanych leków lub </w:t>
            </w:r>
            <w:r w:rsidR="00877F06" w:rsidRPr="00962E1B">
              <w:rPr>
                <w:rFonts w:ascii="Times New Roman" w:hAnsi="Times New Roman" w:cs="Times New Roman"/>
                <w:sz w:val="20"/>
                <w:szCs w:val="20"/>
              </w:rPr>
              <w:t>substancje pomocnicze</w:t>
            </w:r>
            <w:r w:rsidR="00445C80" w:rsidRPr="00962E1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6717DD7" w14:textId="64025F02" w:rsidR="00F05285" w:rsidRPr="00962E1B" w:rsidRDefault="006252F7" w:rsidP="00BC5E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wystąpienie toksyczności wymagającej zakończenia leczenia </w:t>
            </w:r>
            <w:r w:rsidR="00F0528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opinii lekarza prowadzącego lub 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zgodnie z aktualnie obowiązującą</w:t>
            </w:r>
            <w:r w:rsidR="00F0528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F0528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ChPL</w:t>
            </w:r>
            <w:proofErr w:type="spellEnd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7A3B8342" w14:textId="1A8F389C" w:rsidR="00C50CDC" w:rsidRPr="00962E1B" w:rsidRDefault="00C50CDC" w:rsidP="00BC5E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wystąpienie chorób lub stanów, które w opinii lekarza prowadzącego uniemożliwiają prowadzenie leczenia;</w:t>
            </w:r>
          </w:p>
          <w:p w14:paraId="4DD81EBB" w14:textId="0A0A8933" w:rsidR="006252F7" w:rsidRPr="00962E1B" w:rsidRDefault="006252F7" w:rsidP="00BC5E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klinicznie istotne pogorszenie jakości życia w trakcie stosowania leku;</w:t>
            </w:r>
          </w:p>
          <w:p w14:paraId="43314F89" w14:textId="265816F2" w:rsidR="00696F0F" w:rsidRPr="00962E1B" w:rsidRDefault="00696F0F" w:rsidP="00BC5E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rozpoczęcie nowego leczenia z zastosowaniem innego preparatu radioizotopowego, z wyjątkiem zastosowania radioterapii paliatywnej na pojedyncze ogniska przerzutowe (w przypadku leczenia </w:t>
            </w:r>
            <w:proofErr w:type="spellStart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dichlorkiem</w:t>
            </w:r>
            <w:proofErr w:type="spellEnd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radu-223);</w:t>
            </w:r>
          </w:p>
          <w:p w14:paraId="7552D4C1" w14:textId="20DC7D37" w:rsidR="007124FD" w:rsidRPr="00BC5EEA" w:rsidRDefault="00A40059" w:rsidP="00BC5E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</w:t>
            </w:r>
            <w:r w:rsidR="00E27438" w:rsidRPr="00962E1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204C4CF" w14:textId="793ADB6D" w:rsidR="007C23DB" w:rsidRPr="00962E1B" w:rsidRDefault="007C23DB" w:rsidP="00303C40">
            <w:pPr>
              <w:pStyle w:val="Akapitzlist"/>
              <w:spacing w:after="60" w:line="276" w:lineRule="auto"/>
              <w:ind w:left="35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B5FFC" w14:textId="45EF44BF" w:rsidR="00B54A2E" w:rsidRPr="00962E1B" w:rsidRDefault="00B54A2E" w:rsidP="00303C4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Dawkowanie</w:t>
            </w:r>
            <w:r w:rsidR="004377CE" w:rsidRPr="00962E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leków</w:t>
            </w:r>
          </w:p>
          <w:p w14:paraId="28B18784" w14:textId="4159B446" w:rsidR="007F72A0" w:rsidRPr="00962E1B" w:rsidRDefault="007F72A0" w:rsidP="00303C4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U chorych, którzy nie byli uprzednio poddani </w:t>
            </w:r>
            <w:proofErr w:type="spellStart"/>
            <w:r w:rsidRPr="00962E1B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orchidektomii</w:t>
            </w:r>
            <w:proofErr w:type="spellEnd"/>
            <w:r w:rsidRPr="00962E1B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należy utrzymać supresję androgenową z zastosowaniem agonistów 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lub antagonistów</w:t>
            </w:r>
            <w:r w:rsidRPr="00962E1B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LHRH</w:t>
            </w:r>
            <w:r w:rsidR="003B2D8A" w:rsidRPr="00962E1B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.</w:t>
            </w:r>
            <w:r w:rsidRPr="00962E1B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</w:p>
          <w:p w14:paraId="2967A5BC" w14:textId="2D482BD8" w:rsidR="00961AC7" w:rsidRPr="00962E1B" w:rsidRDefault="007D36CB" w:rsidP="00303C40">
            <w:pPr>
              <w:pStyle w:val="Akapitzlist"/>
              <w:widowControl w:val="0"/>
              <w:numPr>
                <w:ilvl w:val="3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</w:pPr>
            <w:proofErr w:type="spellStart"/>
            <w:r w:rsidRPr="00962E1B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a</w:t>
            </w:r>
            <w:r w:rsidR="00F53DA3" w:rsidRPr="00962E1B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palutamid</w:t>
            </w:r>
            <w:proofErr w:type="spellEnd"/>
            <w:r w:rsidR="00961AC7" w:rsidRPr="00962E1B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:</w:t>
            </w:r>
            <w:r w:rsidR="00303C40" w:rsidRPr="00962E1B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C74732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z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alecana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dawka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EE4089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wynosi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240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mg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(cztery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tabletki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po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60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mg)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i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jest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stosowana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jednorazowo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co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24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godziny.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Lek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można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stosować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z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pokarmem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lub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bez</w:t>
            </w:r>
            <w:r w:rsidR="00A862A6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962E1B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pokarmu.</w:t>
            </w:r>
          </w:p>
          <w:p w14:paraId="18F1E9C6" w14:textId="153867F8" w:rsidR="007F72A0" w:rsidRPr="00962E1B" w:rsidRDefault="007D36CB" w:rsidP="007124FD">
            <w:pPr>
              <w:pStyle w:val="Default"/>
              <w:numPr>
                <w:ilvl w:val="3"/>
                <w:numId w:val="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962E1B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d</w:t>
            </w:r>
            <w:r w:rsidR="00961AC7" w:rsidRPr="00962E1B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arolutamid</w:t>
            </w:r>
            <w:proofErr w:type="spellEnd"/>
            <w:r w:rsidR="00961AC7" w:rsidRPr="00962E1B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:</w:t>
            </w:r>
            <w:r w:rsidR="00303C40" w:rsidRPr="00962E1B">
              <w:rPr>
                <w:rFonts w:eastAsia="SimSu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C74732" w:rsidRPr="00962E1B">
              <w:rPr>
                <w:rFonts w:eastAsia="SimSun"/>
                <w:sz w:val="20"/>
                <w:szCs w:val="20"/>
                <w:lang w:eastAsia="zh-CN"/>
              </w:rPr>
              <w:t>z</w:t>
            </w:r>
            <w:r w:rsidR="00961AC7" w:rsidRPr="00962E1B">
              <w:rPr>
                <w:rFonts w:eastAsia="SimSun"/>
                <w:sz w:val="20"/>
                <w:szCs w:val="20"/>
                <w:lang w:eastAsia="zh-CN"/>
              </w:rPr>
              <w:t>alecana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dawka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6C666C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wynosi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600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mg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(dwie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tabletki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po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300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mg)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przyjmowane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dwa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razy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na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dobę,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co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stanowi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równoważność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całkowitej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dawki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dobowej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wynoszącej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1200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>mg.</w:t>
            </w:r>
            <w:r w:rsidR="00A862A6" w:rsidRPr="00962E1B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91DB7" w:rsidRPr="00962E1B">
              <w:rPr>
                <w:sz w:val="20"/>
                <w:szCs w:val="20"/>
              </w:rPr>
              <w:t>Lek</w:t>
            </w:r>
            <w:r w:rsidR="00A862A6" w:rsidRPr="00962E1B">
              <w:rPr>
                <w:sz w:val="20"/>
                <w:szCs w:val="20"/>
              </w:rPr>
              <w:t xml:space="preserve"> </w:t>
            </w:r>
            <w:r w:rsidR="00991DB7" w:rsidRPr="00962E1B">
              <w:rPr>
                <w:sz w:val="20"/>
                <w:szCs w:val="20"/>
              </w:rPr>
              <w:t>należy</w:t>
            </w:r>
            <w:r w:rsidR="00A862A6" w:rsidRPr="00962E1B">
              <w:rPr>
                <w:sz w:val="20"/>
                <w:szCs w:val="20"/>
              </w:rPr>
              <w:t xml:space="preserve"> </w:t>
            </w:r>
            <w:r w:rsidR="00991DB7" w:rsidRPr="00962E1B">
              <w:rPr>
                <w:sz w:val="20"/>
                <w:szCs w:val="20"/>
              </w:rPr>
              <w:t>połykać</w:t>
            </w:r>
            <w:r w:rsidR="00A862A6" w:rsidRPr="00962E1B">
              <w:rPr>
                <w:sz w:val="20"/>
                <w:szCs w:val="20"/>
              </w:rPr>
              <w:t xml:space="preserve"> </w:t>
            </w:r>
            <w:r w:rsidR="00991DB7" w:rsidRPr="00962E1B">
              <w:rPr>
                <w:sz w:val="20"/>
                <w:szCs w:val="20"/>
              </w:rPr>
              <w:t>w</w:t>
            </w:r>
            <w:r w:rsidR="00A862A6" w:rsidRPr="00962E1B">
              <w:rPr>
                <w:sz w:val="20"/>
                <w:szCs w:val="20"/>
              </w:rPr>
              <w:t xml:space="preserve"> </w:t>
            </w:r>
            <w:r w:rsidR="00991DB7" w:rsidRPr="00962E1B">
              <w:rPr>
                <w:sz w:val="20"/>
                <w:szCs w:val="20"/>
              </w:rPr>
              <w:t>całości</w:t>
            </w:r>
            <w:r w:rsidR="00A862A6" w:rsidRPr="00962E1B">
              <w:rPr>
                <w:sz w:val="20"/>
                <w:szCs w:val="20"/>
              </w:rPr>
              <w:t xml:space="preserve"> </w:t>
            </w:r>
            <w:r w:rsidR="00991DB7" w:rsidRPr="00962E1B">
              <w:rPr>
                <w:sz w:val="20"/>
                <w:szCs w:val="20"/>
              </w:rPr>
              <w:t>z</w:t>
            </w:r>
            <w:r w:rsidR="00A862A6" w:rsidRPr="00962E1B">
              <w:rPr>
                <w:sz w:val="20"/>
                <w:szCs w:val="20"/>
              </w:rPr>
              <w:t xml:space="preserve"> </w:t>
            </w:r>
            <w:r w:rsidR="00991DB7" w:rsidRPr="00962E1B">
              <w:rPr>
                <w:sz w:val="20"/>
                <w:szCs w:val="20"/>
              </w:rPr>
              <w:t>pokarmem.</w:t>
            </w:r>
          </w:p>
          <w:p w14:paraId="0CB20A48" w14:textId="4437ECE2" w:rsidR="00E94001" w:rsidRPr="00962E1B" w:rsidRDefault="007124FD" w:rsidP="00477A99">
            <w:pPr>
              <w:pStyle w:val="Default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962E1B">
              <w:rPr>
                <w:sz w:val="20"/>
                <w:szCs w:val="20"/>
              </w:rPr>
              <w:t xml:space="preserve">U pacjentów z </w:t>
            </w:r>
            <w:proofErr w:type="spellStart"/>
            <w:r w:rsidR="00E94001" w:rsidRPr="00962E1B">
              <w:rPr>
                <w:sz w:val="20"/>
                <w:szCs w:val="20"/>
              </w:rPr>
              <w:t>mHSPC</w:t>
            </w:r>
            <w:proofErr w:type="spellEnd"/>
            <w:r w:rsidR="00E94001" w:rsidRPr="00962E1B">
              <w:rPr>
                <w:sz w:val="20"/>
                <w:szCs w:val="20"/>
              </w:rPr>
              <w:t xml:space="preserve"> leczenie </w:t>
            </w:r>
            <w:proofErr w:type="spellStart"/>
            <w:r w:rsidR="00E94001" w:rsidRPr="00962E1B">
              <w:rPr>
                <w:sz w:val="20"/>
                <w:szCs w:val="20"/>
              </w:rPr>
              <w:t>darolutamidem</w:t>
            </w:r>
            <w:proofErr w:type="spellEnd"/>
            <w:r w:rsidR="00E94001" w:rsidRPr="00962E1B">
              <w:rPr>
                <w:sz w:val="20"/>
                <w:szCs w:val="20"/>
              </w:rPr>
              <w:t xml:space="preserve"> </w:t>
            </w:r>
            <w:r w:rsidR="00BA2B13" w:rsidRPr="00962E1B">
              <w:rPr>
                <w:sz w:val="20"/>
                <w:szCs w:val="20"/>
              </w:rPr>
              <w:t xml:space="preserve">należy rozpocząć w skojarzeniu z </w:t>
            </w:r>
            <w:proofErr w:type="spellStart"/>
            <w:r w:rsidR="00BA2B13" w:rsidRPr="00962E1B">
              <w:rPr>
                <w:sz w:val="20"/>
                <w:szCs w:val="20"/>
              </w:rPr>
              <w:t>docetakselem</w:t>
            </w:r>
            <w:proofErr w:type="spellEnd"/>
            <w:r w:rsidR="00BA2B13" w:rsidRPr="00962E1B">
              <w:rPr>
                <w:sz w:val="20"/>
                <w:szCs w:val="20"/>
              </w:rPr>
              <w:t xml:space="preserve">.  Pierwszy z 6 cykli </w:t>
            </w:r>
            <w:proofErr w:type="spellStart"/>
            <w:r w:rsidR="00BA2B13" w:rsidRPr="00962E1B">
              <w:rPr>
                <w:sz w:val="20"/>
                <w:szCs w:val="20"/>
              </w:rPr>
              <w:t>docetakselu</w:t>
            </w:r>
            <w:proofErr w:type="spellEnd"/>
            <w:r w:rsidR="00BA2B13" w:rsidRPr="00962E1B">
              <w:rPr>
                <w:sz w:val="20"/>
                <w:szCs w:val="20"/>
              </w:rPr>
              <w:t xml:space="preserve"> należy podać w ciągu 6 tygodni od rozpoczęcia</w:t>
            </w:r>
            <w:r w:rsidR="00477A99" w:rsidRPr="00962E1B">
              <w:rPr>
                <w:sz w:val="20"/>
                <w:szCs w:val="20"/>
              </w:rPr>
              <w:t xml:space="preserve"> </w:t>
            </w:r>
            <w:r w:rsidR="00BA2B13" w:rsidRPr="00962E1B">
              <w:rPr>
                <w:sz w:val="20"/>
                <w:szCs w:val="20"/>
              </w:rPr>
              <w:t xml:space="preserve">leczenia </w:t>
            </w:r>
            <w:proofErr w:type="spellStart"/>
            <w:r w:rsidR="00BA2B13" w:rsidRPr="00962E1B">
              <w:rPr>
                <w:sz w:val="20"/>
                <w:szCs w:val="20"/>
              </w:rPr>
              <w:t>darolutamidem</w:t>
            </w:r>
            <w:proofErr w:type="spellEnd"/>
            <w:r w:rsidR="00477A99" w:rsidRPr="00962E1B">
              <w:rPr>
                <w:sz w:val="20"/>
                <w:szCs w:val="20"/>
              </w:rPr>
              <w:t xml:space="preserve">. Leczenie </w:t>
            </w:r>
            <w:proofErr w:type="spellStart"/>
            <w:r w:rsidR="00477A99" w:rsidRPr="00962E1B">
              <w:rPr>
                <w:sz w:val="20"/>
                <w:szCs w:val="20"/>
              </w:rPr>
              <w:t>mHSPC</w:t>
            </w:r>
            <w:proofErr w:type="spellEnd"/>
            <w:r w:rsidR="00477A99" w:rsidRPr="00962E1B">
              <w:rPr>
                <w:sz w:val="20"/>
                <w:szCs w:val="20"/>
              </w:rPr>
              <w:t xml:space="preserve"> należy </w:t>
            </w:r>
            <w:r w:rsidR="00E94001" w:rsidRPr="00962E1B">
              <w:rPr>
                <w:sz w:val="20"/>
                <w:szCs w:val="20"/>
              </w:rPr>
              <w:t>kontynuować do czasu progresji choroby lub wystąpienia niemożliwej do zaakceptowania toksyczności, nawet jeśli</w:t>
            </w:r>
            <w:r w:rsidR="00477A99" w:rsidRPr="00962E1B">
              <w:rPr>
                <w:sz w:val="20"/>
                <w:szCs w:val="20"/>
              </w:rPr>
              <w:t xml:space="preserve"> </w:t>
            </w:r>
            <w:r w:rsidR="00B23D65" w:rsidRPr="00962E1B">
              <w:rPr>
                <w:sz w:val="20"/>
                <w:szCs w:val="20"/>
              </w:rPr>
              <w:t>podanie kolejnego kursu</w:t>
            </w:r>
            <w:r w:rsidR="00E94001" w:rsidRPr="00962E1B">
              <w:rPr>
                <w:sz w:val="20"/>
                <w:szCs w:val="20"/>
              </w:rPr>
              <w:t xml:space="preserve"> </w:t>
            </w:r>
            <w:proofErr w:type="spellStart"/>
            <w:r w:rsidR="00E94001" w:rsidRPr="00962E1B">
              <w:rPr>
                <w:sz w:val="20"/>
                <w:szCs w:val="20"/>
              </w:rPr>
              <w:t>docetakselu</w:t>
            </w:r>
            <w:proofErr w:type="spellEnd"/>
            <w:r w:rsidR="00E94001" w:rsidRPr="00962E1B">
              <w:rPr>
                <w:sz w:val="20"/>
                <w:szCs w:val="20"/>
              </w:rPr>
              <w:t xml:space="preserve"> jest </w:t>
            </w:r>
            <w:r w:rsidR="00E94001" w:rsidRPr="00962E1B">
              <w:rPr>
                <w:sz w:val="20"/>
                <w:szCs w:val="20"/>
              </w:rPr>
              <w:lastRenderedPageBreak/>
              <w:t>opóźnion</w:t>
            </w:r>
            <w:r w:rsidR="00B23D65" w:rsidRPr="00962E1B">
              <w:rPr>
                <w:sz w:val="20"/>
                <w:szCs w:val="20"/>
              </w:rPr>
              <w:t xml:space="preserve">e lub leczenie </w:t>
            </w:r>
            <w:proofErr w:type="spellStart"/>
            <w:r w:rsidR="00B23D65" w:rsidRPr="00962E1B">
              <w:rPr>
                <w:sz w:val="20"/>
                <w:szCs w:val="20"/>
              </w:rPr>
              <w:t>docetakselem</w:t>
            </w:r>
            <w:proofErr w:type="spellEnd"/>
            <w:r w:rsidR="00B23D65" w:rsidRPr="00962E1B">
              <w:rPr>
                <w:sz w:val="20"/>
                <w:szCs w:val="20"/>
              </w:rPr>
              <w:t xml:space="preserve"> </w:t>
            </w:r>
            <w:proofErr w:type="spellStart"/>
            <w:r w:rsidR="00B23D65" w:rsidRPr="00962E1B">
              <w:rPr>
                <w:sz w:val="20"/>
                <w:szCs w:val="20"/>
              </w:rPr>
              <w:t>przedwczesnie</w:t>
            </w:r>
            <w:proofErr w:type="spellEnd"/>
            <w:r w:rsidR="00B23D65" w:rsidRPr="00962E1B">
              <w:rPr>
                <w:sz w:val="20"/>
                <w:szCs w:val="20"/>
              </w:rPr>
              <w:t xml:space="preserve"> zakończono.</w:t>
            </w:r>
            <w:r w:rsidR="00E94001" w:rsidRPr="00962E1B">
              <w:rPr>
                <w:sz w:val="20"/>
                <w:szCs w:val="20"/>
              </w:rPr>
              <w:t xml:space="preserve"> </w:t>
            </w:r>
          </w:p>
          <w:p w14:paraId="1C56CEB5" w14:textId="05B8E3A8" w:rsidR="00447C42" w:rsidRPr="00962E1B" w:rsidRDefault="007D36CB" w:rsidP="00303C40">
            <w:pPr>
              <w:pStyle w:val="Akapitzlist"/>
              <w:widowControl w:val="0"/>
              <w:numPr>
                <w:ilvl w:val="3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2E1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</w:t>
            </w:r>
            <w:r w:rsidR="00961AC7" w:rsidRPr="00962E1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nzalutamid</w:t>
            </w:r>
            <w:proofErr w:type="spellEnd"/>
            <w:r w:rsidR="00BF356A" w:rsidRPr="00962E1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:</w:t>
            </w:r>
            <w:r w:rsidR="00303C40" w:rsidRPr="00962E1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C74732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="00961AC7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>alecana</w:t>
            </w:r>
            <w:r w:rsidR="00A862A6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>dawka</w:t>
            </w:r>
            <w:r w:rsidR="00A862A6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C666C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>wynosi</w:t>
            </w:r>
            <w:r w:rsidR="00A862A6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  <w:r w:rsidR="00A862A6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>mg</w:t>
            </w:r>
            <w:r w:rsidR="00A862A6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>(cztery</w:t>
            </w:r>
            <w:r w:rsidR="00A862A6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>tabletki</w:t>
            </w:r>
            <w:r w:rsidR="00A862A6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>po</w:t>
            </w:r>
            <w:r w:rsidR="00A862A6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  <w:r w:rsidR="00A862A6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>mg)</w:t>
            </w:r>
            <w:r w:rsidR="00A862A6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A862A6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>jednorazowej</w:t>
            </w:r>
            <w:r w:rsidR="00A862A6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>dawce</w:t>
            </w:r>
            <w:r w:rsidR="00A862A6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>dobowej.</w:t>
            </w:r>
            <w:r w:rsidR="00A862A6" w:rsidRPr="00962E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962E1B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A862A6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962E1B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A862A6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962E1B">
              <w:rPr>
                <w:rFonts w:ascii="Times New Roman" w:hAnsi="Times New Roman" w:cs="Times New Roman"/>
                <w:sz w:val="20"/>
                <w:szCs w:val="20"/>
              </w:rPr>
              <w:t>stosować</w:t>
            </w:r>
            <w:r w:rsidR="00A862A6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962E1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62A6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962E1B">
              <w:rPr>
                <w:rFonts w:ascii="Times New Roman" w:hAnsi="Times New Roman" w:cs="Times New Roman"/>
                <w:sz w:val="20"/>
                <w:szCs w:val="20"/>
              </w:rPr>
              <w:t>pokarmem</w:t>
            </w:r>
            <w:r w:rsidR="00A862A6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962E1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62A6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962E1B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A862A6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962E1B">
              <w:rPr>
                <w:rFonts w:ascii="Times New Roman" w:hAnsi="Times New Roman" w:cs="Times New Roman"/>
                <w:sz w:val="20"/>
                <w:szCs w:val="20"/>
              </w:rPr>
              <w:t>pokarmu.</w:t>
            </w:r>
          </w:p>
          <w:p w14:paraId="6862CBF5" w14:textId="12D6E8B8" w:rsidR="00FC0975" w:rsidRPr="00962E1B" w:rsidRDefault="00FC0975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Leków hormonalnych nowej generacji 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nie należy stosować </w:t>
            </w:r>
            <w:r w:rsidR="00B23D65" w:rsidRPr="00962E1B">
              <w:rPr>
                <w:rFonts w:ascii="Times New Roman" w:hAnsi="Times New Roman" w:cs="Times New Roman"/>
                <w:sz w:val="20"/>
                <w:szCs w:val="20"/>
              </w:rPr>
              <w:t>równocześnie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="00E94001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4001" w:rsidRPr="00962E1B">
              <w:rPr>
                <w:rFonts w:ascii="Times New Roman" w:hAnsi="Times New Roman"/>
                <w:sz w:val="20"/>
                <w:szCs w:val="20"/>
              </w:rPr>
              <w:t xml:space="preserve">(za wyjątkiem </w:t>
            </w:r>
            <w:proofErr w:type="spellStart"/>
            <w:r w:rsidR="00E94001" w:rsidRPr="00962E1B">
              <w:rPr>
                <w:rFonts w:ascii="Times New Roman" w:hAnsi="Times New Roman"/>
                <w:sz w:val="20"/>
                <w:szCs w:val="20"/>
              </w:rPr>
              <w:t>darolutamidu</w:t>
            </w:r>
            <w:proofErr w:type="spellEnd"/>
            <w:r w:rsidR="00E94001" w:rsidRPr="00962E1B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="00E94001" w:rsidRPr="00962E1B">
              <w:rPr>
                <w:rFonts w:ascii="Times New Roman" w:hAnsi="Times New Roman"/>
                <w:sz w:val="20"/>
                <w:szCs w:val="20"/>
              </w:rPr>
              <w:t>mHSPC</w:t>
            </w:r>
            <w:proofErr w:type="spellEnd"/>
            <w:r w:rsidR="00E94001" w:rsidRPr="00962E1B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ani innymi antyandrogenami lub inhibitorami CYP17.</w:t>
            </w:r>
          </w:p>
          <w:p w14:paraId="24B12C25" w14:textId="17B2A9CA" w:rsidR="00AF079D" w:rsidRPr="00962E1B" w:rsidRDefault="00FC0975" w:rsidP="00303C40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2E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="001605D7" w:rsidRPr="00962E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laparyb</w:t>
            </w:r>
            <w:proofErr w:type="spellEnd"/>
            <w:r w:rsidR="001605D7" w:rsidRPr="00962E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303C40" w:rsidRPr="00962E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74732" w:rsidRPr="00962E1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062D8" w:rsidRPr="00962E1B">
              <w:rPr>
                <w:rFonts w:ascii="Times New Roman" w:hAnsi="Times New Roman" w:cs="Times New Roman"/>
                <w:sz w:val="20"/>
                <w:szCs w:val="20"/>
              </w:rPr>
              <w:t>alecana dawka wynosi 300 mg</w:t>
            </w:r>
            <w:r w:rsidR="00303C40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62D8" w:rsidRPr="00962E1B">
              <w:rPr>
                <w:rFonts w:ascii="Times New Roman" w:hAnsi="Times New Roman" w:cs="Times New Roman"/>
                <w:sz w:val="20"/>
                <w:szCs w:val="20"/>
              </w:rPr>
              <w:t>(dwie tabletki po 150 mg) dwa razy na dobę, co odpowiada całkowitej dawce dobowej 600 mg. Lek można stosować z pokarmem lub bez pokarmu.</w:t>
            </w:r>
            <w:r w:rsidR="00AF079D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Lek </w:t>
            </w:r>
            <w:r w:rsidR="00C90AA6" w:rsidRPr="00962E1B">
              <w:rPr>
                <w:rFonts w:ascii="Times New Roman" w:hAnsi="Times New Roman" w:cs="Times New Roman"/>
                <w:sz w:val="20"/>
                <w:szCs w:val="20"/>
              </w:rPr>
              <w:t>stosuje się</w:t>
            </w:r>
            <w:r w:rsidR="00AF079D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="00AF079D" w:rsidRPr="00962E1B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="00AF079D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C90AA6" w:rsidRPr="00962E1B">
              <w:rPr>
                <w:rFonts w:ascii="Times New Roman" w:hAnsi="Times New Roman" w:cs="Times New Roman"/>
                <w:sz w:val="20"/>
                <w:szCs w:val="20"/>
              </w:rPr>
              <w:t>za wyjątkiem</w:t>
            </w:r>
            <w:r w:rsidR="00AF079D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0AA6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leczenia skojarzonego z </w:t>
            </w:r>
            <w:r w:rsidR="00AF079D" w:rsidRPr="00962E1B">
              <w:rPr>
                <w:rFonts w:ascii="Times New Roman" w:hAnsi="Times New Roman" w:cs="Times New Roman"/>
                <w:sz w:val="20"/>
                <w:szCs w:val="20"/>
              </w:rPr>
              <w:t>analogiem lub antagonistą LHRH).</w:t>
            </w:r>
          </w:p>
          <w:p w14:paraId="295E72CB" w14:textId="63B8C565" w:rsidR="007F72A0" w:rsidRPr="00962E1B" w:rsidRDefault="00FC0975" w:rsidP="00303C40">
            <w:pPr>
              <w:pStyle w:val="Akapitzlist"/>
              <w:numPr>
                <w:ilvl w:val="3"/>
                <w:numId w:val="3"/>
              </w:numPr>
              <w:autoSpaceDN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</w:t>
            </w:r>
            <w:r w:rsidR="00954FC9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abazytaksel</w:t>
            </w:r>
            <w:proofErr w:type="spellEnd"/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:</w:t>
            </w:r>
            <w:r w:rsidR="00303C40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6C666C" w:rsidRPr="00962E1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72A0" w:rsidRPr="00962E1B">
              <w:rPr>
                <w:rFonts w:ascii="Times New Roman" w:hAnsi="Times New Roman" w:cs="Times New Roman"/>
                <w:sz w:val="20"/>
                <w:szCs w:val="20"/>
              </w:rPr>
              <w:t>alecana dawka wynosi 25 mg/m</w:t>
            </w:r>
            <w:r w:rsidR="007F72A0" w:rsidRPr="00962E1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7F72A0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F72A0" w:rsidRPr="00962E1B">
              <w:rPr>
                <w:rFonts w:ascii="Times New Roman" w:hAnsi="Times New Roman" w:cs="Times New Roman"/>
                <w:sz w:val="20"/>
                <w:szCs w:val="20"/>
              </w:rPr>
              <w:t>pc</w:t>
            </w:r>
            <w:proofErr w:type="spellEnd"/>
            <w:r w:rsidR="007F72A0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r w:rsidR="008C2704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podawana w 1-godzinnej infuzji dożylnej co 3 tygodnie, w skojarzeniu z doustnym </w:t>
            </w:r>
            <w:proofErr w:type="spellStart"/>
            <w:r w:rsidR="008C2704" w:rsidRPr="00962E1B">
              <w:rPr>
                <w:rFonts w:ascii="Times New Roman" w:hAnsi="Times New Roman" w:cs="Times New Roman"/>
                <w:sz w:val="20"/>
                <w:szCs w:val="20"/>
              </w:rPr>
              <w:t>prednizonem</w:t>
            </w:r>
            <w:proofErr w:type="spellEnd"/>
            <w:r w:rsidR="008C2704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="008C2704" w:rsidRPr="00962E1B">
              <w:rPr>
                <w:rFonts w:ascii="Times New Roman" w:hAnsi="Times New Roman" w:cs="Times New Roman"/>
                <w:sz w:val="20"/>
                <w:szCs w:val="20"/>
              </w:rPr>
              <w:t>prednizolonem</w:t>
            </w:r>
            <w:proofErr w:type="spellEnd"/>
            <w:r w:rsidR="008C2704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w dawce 10 mg, podawanym codziennie podczas leczenia.</w:t>
            </w:r>
          </w:p>
          <w:p w14:paraId="52D5DE38" w14:textId="7BC7C971" w:rsidR="001869D7" w:rsidRPr="00962E1B" w:rsidRDefault="001869D7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Czas od zakończenia chemioterapii z udziałem </w:t>
            </w:r>
            <w:proofErr w:type="spellStart"/>
            <w:r w:rsidRPr="00962E1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>docetakselu</w:t>
            </w:r>
            <w:proofErr w:type="spellEnd"/>
            <w:r w:rsidRPr="00962E1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powinien wynosić co najmniej 4 tygodnie</w:t>
            </w:r>
            <w:r w:rsidR="0007274E" w:rsidRPr="00962E1B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>.</w:t>
            </w:r>
          </w:p>
          <w:p w14:paraId="25A7EA7D" w14:textId="7E6A875D" w:rsidR="007F72A0" w:rsidRPr="00962E1B" w:rsidRDefault="007F72A0" w:rsidP="00012D25">
            <w:pPr>
              <w:pStyle w:val="TableParagraph"/>
              <w:spacing w:after="60" w:line="276" w:lineRule="auto"/>
              <w:ind w:left="454"/>
              <w:jc w:val="both"/>
              <w:rPr>
                <w:sz w:val="20"/>
                <w:szCs w:val="20"/>
                <w:lang w:val="pl-PL"/>
              </w:rPr>
            </w:pPr>
            <w:r w:rsidRPr="00962E1B">
              <w:rPr>
                <w:sz w:val="20"/>
                <w:szCs w:val="20"/>
                <w:lang w:val="pl-PL"/>
              </w:rPr>
              <w:t>Premedykacja</w:t>
            </w:r>
            <w:r w:rsidR="00ED0B17" w:rsidRPr="00962E1B">
              <w:rPr>
                <w:sz w:val="20"/>
                <w:szCs w:val="20"/>
                <w:lang w:val="pl-PL"/>
              </w:rPr>
              <w:t>:</w:t>
            </w:r>
          </w:p>
          <w:p w14:paraId="35DB9647" w14:textId="3771ECFF" w:rsidR="007F72A0" w:rsidRPr="00962E1B" w:rsidRDefault="00ED0B17" w:rsidP="00303C40">
            <w:pPr>
              <w:pStyle w:val="TableParagraph"/>
              <w:spacing w:after="60" w:line="276" w:lineRule="auto"/>
              <w:ind w:left="454"/>
              <w:jc w:val="both"/>
              <w:rPr>
                <w:sz w:val="20"/>
                <w:szCs w:val="20"/>
                <w:lang w:val="pl-PL"/>
              </w:rPr>
            </w:pPr>
            <w:r w:rsidRPr="00962E1B">
              <w:rPr>
                <w:sz w:val="20"/>
                <w:szCs w:val="20"/>
                <w:lang w:val="pl-PL"/>
              </w:rPr>
              <w:t>w</w:t>
            </w:r>
            <w:r w:rsidR="007F72A0" w:rsidRPr="00962E1B">
              <w:rPr>
                <w:sz w:val="20"/>
                <w:szCs w:val="20"/>
                <w:lang w:val="pl-PL"/>
              </w:rPr>
              <w:t xml:space="preserve"> celu zmniejszenia ryzyka wystąpienia i nasilenia reakcji nadwrażliwości, zalecany schemat premedykacji powinien być wykonany przynajmniej 30 minut przed </w:t>
            </w:r>
            <w:r w:rsidR="007F72A0" w:rsidRPr="00962E1B">
              <w:rPr>
                <w:sz w:val="20"/>
                <w:szCs w:val="20"/>
                <w:lang w:val="pl-PL"/>
              </w:rPr>
              <w:lastRenderedPageBreak/>
              <w:t xml:space="preserve">każdym podaniem leku </w:t>
            </w:r>
            <w:proofErr w:type="spellStart"/>
            <w:r w:rsidR="007F72A0" w:rsidRPr="00962E1B">
              <w:rPr>
                <w:sz w:val="20"/>
                <w:szCs w:val="20"/>
                <w:lang w:val="pl-PL"/>
              </w:rPr>
              <w:t>kabazytaksel</w:t>
            </w:r>
            <w:proofErr w:type="spellEnd"/>
            <w:r w:rsidR="007F72A0" w:rsidRPr="00962E1B">
              <w:rPr>
                <w:sz w:val="20"/>
                <w:szCs w:val="20"/>
                <w:lang w:val="pl-PL"/>
              </w:rPr>
              <w:t xml:space="preserve"> poprzez dożylne podanie następujących produktów leczniczych:</w:t>
            </w:r>
          </w:p>
          <w:p w14:paraId="4420E59A" w14:textId="70BE2235" w:rsidR="007F72A0" w:rsidRPr="00962E1B" w:rsidRDefault="007F72A0" w:rsidP="00303C40">
            <w:pPr>
              <w:pStyle w:val="TableParagraph"/>
              <w:numPr>
                <w:ilvl w:val="4"/>
                <w:numId w:val="3"/>
              </w:numPr>
              <w:tabs>
                <w:tab w:val="left" w:pos="426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962E1B">
              <w:rPr>
                <w:sz w:val="20"/>
                <w:szCs w:val="20"/>
                <w:lang w:val="pl-PL"/>
              </w:rPr>
              <w:t xml:space="preserve">lek przeciwhistaminowy (5 mg </w:t>
            </w:r>
            <w:proofErr w:type="spellStart"/>
            <w:r w:rsidRPr="00962E1B">
              <w:rPr>
                <w:sz w:val="20"/>
                <w:szCs w:val="20"/>
                <w:lang w:val="pl-PL"/>
              </w:rPr>
              <w:t>dekschlorfenyraminy</w:t>
            </w:r>
            <w:proofErr w:type="spellEnd"/>
            <w:r w:rsidRPr="00962E1B">
              <w:rPr>
                <w:spacing w:val="11"/>
                <w:sz w:val="20"/>
                <w:szCs w:val="20"/>
                <w:lang w:val="pl-PL"/>
              </w:rPr>
              <w:t xml:space="preserve"> </w:t>
            </w:r>
            <w:r w:rsidRPr="00962E1B">
              <w:rPr>
                <w:sz w:val="20"/>
                <w:szCs w:val="20"/>
                <w:lang w:val="pl-PL"/>
              </w:rPr>
              <w:t xml:space="preserve">lub 25 mg </w:t>
            </w:r>
            <w:proofErr w:type="spellStart"/>
            <w:r w:rsidRPr="00962E1B">
              <w:rPr>
                <w:sz w:val="20"/>
                <w:szCs w:val="20"/>
                <w:lang w:val="pl-PL"/>
              </w:rPr>
              <w:t>difenhydraminy</w:t>
            </w:r>
            <w:proofErr w:type="spellEnd"/>
            <w:r w:rsidRPr="00962E1B">
              <w:rPr>
                <w:sz w:val="20"/>
                <w:szCs w:val="20"/>
                <w:lang w:val="pl-PL"/>
              </w:rPr>
              <w:t xml:space="preserve"> albo lek o równoważnej sile działania)</w:t>
            </w:r>
            <w:r w:rsidR="008B40A4" w:rsidRPr="00962E1B">
              <w:rPr>
                <w:sz w:val="20"/>
                <w:szCs w:val="20"/>
                <w:lang w:val="pl-PL"/>
              </w:rPr>
              <w:t>,</w:t>
            </w:r>
          </w:p>
          <w:p w14:paraId="1F7F8A2D" w14:textId="73FD7A6E" w:rsidR="00E73964" w:rsidRPr="00962E1B" w:rsidRDefault="007F72A0" w:rsidP="00E73964">
            <w:pPr>
              <w:pStyle w:val="TableParagraph"/>
              <w:numPr>
                <w:ilvl w:val="4"/>
                <w:numId w:val="3"/>
              </w:numPr>
              <w:tabs>
                <w:tab w:val="left" w:pos="426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962E1B">
              <w:rPr>
                <w:sz w:val="20"/>
                <w:szCs w:val="20"/>
                <w:lang w:val="pl-PL"/>
              </w:rPr>
              <w:t xml:space="preserve">kortykosteroid (8 mg </w:t>
            </w:r>
            <w:proofErr w:type="spellStart"/>
            <w:r w:rsidRPr="00962E1B">
              <w:rPr>
                <w:sz w:val="20"/>
                <w:szCs w:val="20"/>
                <w:lang w:val="pl-PL"/>
              </w:rPr>
              <w:t>deksametazonu</w:t>
            </w:r>
            <w:proofErr w:type="spellEnd"/>
            <w:r w:rsidRPr="00962E1B">
              <w:rPr>
                <w:sz w:val="20"/>
                <w:szCs w:val="20"/>
                <w:lang w:val="pl-PL"/>
              </w:rPr>
              <w:t xml:space="preserve"> albo lek o równoważnej sile działania)</w:t>
            </w:r>
            <w:r w:rsidRPr="00962E1B">
              <w:rPr>
                <w:spacing w:val="-2"/>
                <w:sz w:val="20"/>
                <w:szCs w:val="20"/>
                <w:lang w:val="pl-PL"/>
              </w:rPr>
              <w:t xml:space="preserve"> </w:t>
            </w:r>
            <w:r w:rsidRPr="00962E1B">
              <w:rPr>
                <w:sz w:val="20"/>
                <w:szCs w:val="20"/>
                <w:lang w:val="pl-PL"/>
              </w:rPr>
              <w:t>oraz</w:t>
            </w:r>
            <w:r w:rsidR="00F011A0" w:rsidRPr="00962E1B">
              <w:rPr>
                <w:sz w:val="20"/>
                <w:szCs w:val="20"/>
                <w:lang w:val="pl-PL"/>
              </w:rPr>
              <w:t xml:space="preserve"> </w:t>
            </w:r>
            <w:r w:rsidRPr="00962E1B">
              <w:rPr>
                <w:sz w:val="20"/>
                <w:szCs w:val="20"/>
                <w:lang w:val="pl-PL"/>
              </w:rPr>
              <w:t>antagonista receptora H2 (</w:t>
            </w:r>
            <w:proofErr w:type="spellStart"/>
            <w:r w:rsidRPr="00962E1B">
              <w:rPr>
                <w:sz w:val="20"/>
                <w:szCs w:val="20"/>
                <w:lang w:val="pl-PL"/>
              </w:rPr>
              <w:t>ranitydyna</w:t>
            </w:r>
            <w:proofErr w:type="spellEnd"/>
            <w:r w:rsidRPr="00962E1B">
              <w:rPr>
                <w:sz w:val="20"/>
                <w:szCs w:val="20"/>
                <w:lang w:val="pl-PL"/>
              </w:rPr>
              <w:t xml:space="preserve"> albo lek o równoważnej sile działania).</w:t>
            </w:r>
          </w:p>
          <w:p w14:paraId="6CF9EF40" w14:textId="0999931B" w:rsidR="00BA2B13" w:rsidRPr="00962E1B" w:rsidRDefault="00BA2B13" w:rsidP="00BA2B13">
            <w:pPr>
              <w:pStyle w:val="Akapitzlist"/>
              <w:widowControl w:val="0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62E1B">
              <w:rPr>
                <w:rFonts w:ascii="Times New Roman" w:eastAsia="SimSun" w:hAnsi="Times New Roman"/>
                <w:b/>
                <w:sz w:val="20"/>
                <w:szCs w:val="20"/>
                <w:lang w:eastAsia="zh-CN"/>
              </w:rPr>
              <w:t>dichlorek</w:t>
            </w:r>
            <w:proofErr w:type="spellEnd"/>
            <w:r w:rsidRPr="00962E1B">
              <w:rPr>
                <w:rFonts w:ascii="Times New Roman" w:eastAsia="SimSun" w:hAnsi="Times New Roman"/>
                <w:b/>
                <w:sz w:val="20"/>
                <w:szCs w:val="20"/>
                <w:lang w:eastAsia="zh-CN"/>
              </w:rPr>
              <w:t xml:space="preserve"> radu-223: </w:t>
            </w: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lek jest podawany we wstrzyknięciach dożylnych w dawce</w:t>
            </w:r>
            <w:r w:rsidRPr="00962E1B">
              <w:rPr>
                <w:rFonts w:ascii="Times New Roman" w:hAnsi="Times New Roman"/>
                <w:sz w:val="20"/>
                <w:szCs w:val="20"/>
              </w:rPr>
              <w:t xml:space="preserve"> 55 </w:t>
            </w:r>
            <w:proofErr w:type="spellStart"/>
            <w:r w:rsidRPr="00962E1B">
              <w:rPr>
                <w:rFonts w:ascii="Times New Roman" w:hAnsi="Times New Roman"/>
                <w:sz w:val="20"/>
                <w:szCs w:val="20"/>
              </w:rPr>
              <w:t>kBq</w:t>
            </w:r>
            <w:proofErr w:type="spellEnd"/>
            <w:r w:rsidRPr="00962E1B">
              <w:rPr>
                <w:rFonts w:ascii="Times New Roman" w:hAnsi="Times New Roman"/>
                <w:sz w:val="20"/>
                <w:szCs w:val="20"/>
              </w:rPr>
              <w:t xml:space="preserve"> na kg masy ciała, w odstępach 4-tygodniowych </w:t>
            </w:r>
            <w:r w:rsidR="00B23D65" w:rsidRPr="00962E1B">
              <w:rPr>
                <w:rFonts w:ascii="Times New Roman" w:hAnsi="Times New Roman"/>
                <w:sz w:val="20"/>
                <w:szCs w:val="20"/>
              </w:rPr>
              <w:t>łącznie 6 razy.</w:t>
            </w:r>
          </w:p>
          <w:p w14:paraId="4B5C6E6C" w14:textId="77777777" w:rsidR="00BA2B13" w:rsidRPr="00962E1B" w:rsidRDefault="00BA2B13" w:rsidP="00BA2B13">
            <w:pPr>
              <w:pStyle w:val="Akapitzlist"/>
              <w:widowControl w:val="0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Dawka leku nie może być modyfikowana.</w:t>
            </w:r>
          </w:p>
          <w:p w14:paraId="34050EF6" w14:textId="27FE91D9" w:rsidR="00BA2B13" w:rsidRPr="00962E1B" w:rsidRDefault="00BA2B13" w:rsidP="00BA2B13">
            <w:pPr>
              <w:pStyle w:val="Akapitzlist"/>
              <w:widowControl w:val="0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W przypadku stosowania wcześniej </w:t>
            </w:r>
            <w:proofErr w:type="spellStart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docetakselu</w:t>
            </w:r>
            <w:proofErr w:type="spellEnd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 lub </w:t>
            </w:r>
            <w:proofErr w:type="spellStart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kabazytakselu</w:t>
            </w:r>
            <w:proofErr w:type="spellEnd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 czas od zakończenia </w:t>
            </w:r>
            <w:r w:rsidR="00D475D5"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chemiote</w:t>
            </w: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rapii powinien wynosić co najmniej 4 tygodnie, a gdy pacjent wcześniej przyjmował octan </w:t>
            </w:r>
            <w:proofErr w:type="spellStart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, należy zapewnić minimum 5 dniowy odstęp do rozpoczęcia leczenia </w:t>
            </w:r>
            <w:proofErr w:type="spellStart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dichlorkiem</w:t>
            </w:r>
            <w:proofErr w:type="spellEnd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 radu-223.</w:t>
            </w:r>
          </w:p>
          <w:p w14:paraId="411BB228" w14:textId="77777777" w:rsidR="00BA2B13" w:rsidRPr="00962E1B" w:rsidRDefault="00BA2B13" w:rsidP="00BA2B13">
            <w:pPr>
              <w:pStyle w:val="Akapitzlist"/>
              <w:widowControl w:val="0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hAnsi="Times New Roman"/>
                <w:sz w:val="20"/>
                <w:szCs w:val="20"/>
              </w:rPr>
              <w:t xml:space="preserve">W przypadku wystąpienia zdarzeń losowych albo istotnych klinicznie lub ciężkich działań niepożądanych można opóźnić podanie kolejnej dawki leku, jednak nie dłużej </w:t>
            </w: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niż o 4 tygodnie.</w:t>
            </w:r>
          </w:p>
          <w:p w14:paraId="5E8E8A9C" w14:textId="77777777" w:rsidR="00BA2B13" w:rsidRPr="00962E1B" w:rsidRDefault="00BA2B13" w:rsidP="00BA2B13">
            <w:pPr>
              <w:pStyle w:val="Akapitzlist"/>
              <w:widowControl w:val="0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Warunkiem podania kolejnej dawki leku w przypadku, o którym mowa powyżej jest:</w:t>
            </w:r>
          </w:p>
          <w:p w14:paraId="1D6879F6" w14:textId="77777777" w:rsidR="00BA2B13" w:rsidRPr="00962E1B" w:rsidRDefault="00BA2B13" w:rsidP="00BA2B13">
            <w:pPr>
              <w:pStyle w:val="Akapitzlist"/>
              <w:widowControl w:val="0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w przypadku </w:t>
            </w:r>
            <w:proofErr w:type="spellStart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hematotoksyczności</w:t>
            </w:r>
            <w:proofErr w:type="spellEnd"/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: działanie powinno zmniejszyć się co najmniej do </w:t>
            </w: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lastRenderedPageBreak/>
              <w:t>stopnia 2 wg CTC,</w:t>
            </w:r>
          </w:p>
          <w:p w14:paraId="4C1B8C70" w14:textId="77777777" w:rsidR="00BA2B13" w:rsidRPr="00962E1B" w:rsidRDefault="00BA2B13" w:rsidP="00BA2B13">
            <w:pPr>
              <w:numPr>
                <w:ilvl w:val="4"/>
                <w:numId w:val="3"/>
              </w:numPr>
              <w:autoSpaceDN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w przypadku toksyczności innych niż hematologiczne: działanie powinno zmniejszyć się do stopnia 2 wg CTC w przypadku działań żołądkowo-jelitowych lub stopnia 3 wg CTC w przypadku pozostałych działań,</w:t>
            </w:r>
          </w:p>
          <w:p w14:paraId="57E775C2" w14:textId="77777777" w:rsidR="00BA2B13" w:rsidRPr="00962E1B" w:rsidRDefault="00BA2B13" w:rsidP="00BA2B13">
            <w:pPr>
              <w:numPr>
                <w:ilvl w:val="4"/>
                <w:numId w:val="3"/>
              </w:numPr>
              <w:autoSpaceDN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w przypadku kompresji rdzenia kręgowego, do której dojdzie w trakcie leczenia, stosowanie leku może być kontynuowane, jeżeli zaopatrzenie pacjenta nie spowoduje opóźnienia podania kolejnej dawki leku o więcej niż 4 tygodnie,</w:t>
            </w:r>
          </w:p>
          <w:p w14:paraId="041677AE" w14:textId="1BF2A32C" w:rsidR="00BA2B13" w:rsidRPr="00962E1B" w:rsidRDefault="00BA2B13" w:rsidP="00BA2B13">
            <w:pPr>
              <w:numPr>
                <w:ilvl w:val="4"/>
                <w:numId w:val="3"/>
              </w:numPr>
              <w:autoSpaceDN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w przypadku złamania kostnego, do którego dojdzie w trakcie leczenia, podanie kolejnej dawki leku powinno odbyć się w okresie od 2 do 4 tygodni po dokonaniu się złamania.</w:t>
            </w:r>
          </w:p>
          <w:p w14:paraId="0DB5B0B3" w14:textId="77777777" w:rsidR="00E73964" w:rsidRPr="00962E1B" w:rsidRDefault="00E73964" w:rsidP="00E73964">
            <w:pPr>
              <w:pStyle w:val="TableParagraph"/>
              <w:tabs>
                <w:tab w:val="left" w:pos="426"/>
              </w:tabs>
              <w:spacing w:after="60" w:line="276" w:lineRule="auto"/>
              <w:ind w:left="680"/>
              <w:jc w:val="both"/>
              <w:rPr>
                <w:sz w:val="20"/>
                <w:szCs w:val="20"/>
                <w:lang w:val="pl-PL"/>
              </w:rPr>
            </w:pPr>
          </w:p>
          <w:p w14:paraId="612CDDC2" w14:textId="77777777" w:rsidR="00E73964" w:rsidRPr="00962E1B" w:rsidRDefault="00E73964" w:rsidP="00E73964">
            <w:pPr>
              <w:pStyle w:val="TableParagraph"/>
              <w:numPr>
                <w:ilvl w:val="0"/>
                <w:numId w:val="3"/>
              </w:numPr>
              <w:tabs>
                <w:tab w:val="left" w:pos="426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  <w:lang w:val="pl-PL"/>
              </w:rPr>
            </w:pPr>
            <w:bookmarkStart w:id="4" w:name="_Hlk159845910"/>
            <w:r w:rsidRPr="00962E1B">
              <w:rPr>
                <w:b/>
                <w:bCs/>
                <w:sz w:val="20"/>
                <w:szCs w:val="20"/>
                <w:lang w:val="pl-PL"/>
              </w:rPr>
              <w:t>Modyfikacja dawkowania leków</w:t>
            </w:r>
          </w:p>
          <w:p w14:paraId="156E0BF0" w14:textId="11444E32" w:rsidR="00E73964" w:rsidRPr="00962E1B" w:rsidRDefault="00E73964" w:rsidP="00E73964">
            <w:pPr>
              <w:pStyle w:val="TableParagraph"/>
              <w:tabs>
                <w:tab w:val="left" w:pos="426"/>
              </w:tabs>
              <w:spacing w:after="60" w:line="276" w:lineRule="auto"/>
              <w:ind w:left="0"/>
              <w:jc w:val="both"/>
              <w:rPr>
                <w:sz w:val="20"/>
                <w:szCs w:val="20"/>
                <w:lang w:val="pl-PL"/>
              </w:rPr>
            </w:pPr>
            <w:r w:rsidRPr="00962E1B">
              <w:rPr>
                <w:sz w:val="20"/>
                <w:szCs w:val="20"/>
                <w:lang w:val="pl-PL"/>
              </w:rPr>
              <w:t>Szczegóły dotyczące sposobu podawania, ewentualnego czasowego wstrzymania leczenia oraz ewentualnego zmniejszania dawki leku zgodnie z aktualną Charakterystyką Produktu Leczniczego.</w:t>
            </w:r>
          </w:p>
          <w:bookmarkEnd w:id="4"/>
          <w:p w14:paraId="33EEFD35" w14:textId="77777777" w:rsidR="00CA0696" w:rsidRPr="00962E1B" w:rsidRDefault="00CA0696" w:rsidP="00303C40">
            <w:pPr>
              <w:pStyle w:val="TableParagraph"/>
              <w:tabs>
                <w:tab w:val="left" w:pos="426"/>
              </w:tabs>
              <w:spacing w:after="60" w:line="276" w:lineRule="auto"/>
              <w:ind w:left="0" w:right="93"/>
              <w:jc w:val="both"/>
              <w:rPr>
                <w:rFonts w:eastAsia="SimSun"/>
                <w:sz w:val="20"/>
                <w:szCs w:val="20"/>
                <w:lang w:val="pl-PL" w:eastAsia="zh-CN"/>
              </w:rPr>
            </w:pPr>
          </w:p>
          <w:p w14:paraId="254B40FE" w14:textId="1C61DEB5" w:rsidR="00CA0696" w:rsidRPr="00962E1B" w:rsidRDefault="00CA0696" w:rsidP="00303C40">
            <w:pPr>
              <w:autoSpaceDN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C320E" w14:textId="70C739AD" w:rsidR="0026562F" w:rsidRPr="00962E1B" w:rsidRDefault="0026562F" w:rsidP="00303C40">
            <w:pPr>
              <w:pStyle w:val="Akapitzlist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lastRenderedPageBreak/>
              <w:t>Badania</w:t>
            </w:r>
            <w:r w:rsidR="00A862A6" w:rsidRPr="00962E1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962E1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przy</w:t>
            </w:r>
            <w:r w:rsidR="00A862A6" w:rsidRPr="00962E1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962E1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kwalifikacji</w:t>
            </w:r>
            <w:r w:rsidR="00E85523" w:rsidRPr="00962E1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do leczenia</w:t>
            </w:r>
          </w:p>
          <w:p w14:paraId="56639583" w14:textId="0195579A" w:rsidR="003E618B" w:rsidRPr="00962E1B" w:rsidRDefault="00BA3747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bidi="pl-PL"/>
              </w:rPr>
              <w:t>h</w:t>
            </w:r>
            <w:r w:rsidR="0026562F" w:rsidRPr="00962E1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bidi="pl-PL"/>
              </w:rPr>
              <w:t>istologicznie</w:t>
            </w:r>
            <w:r w:rsidR="00CD7BC8" w:rsidRPr="00962E1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bidi="pl-PL"/>
              </w:rPr>
              <w:t xml:space="preserve"> </w:t>
            </w:r>
            <w:r w:rsidR="0026562F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potwierdzone</w:t>
            </w:r>
            <w:r w:rsidR="00A862A6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26562F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rozpoznanie</w:t>
            </w:r>
            <w:r w:rsidR="00A862A6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26562F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raka</w:t>
            </w:r>
            <w:r w:rsidR="00A862A6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26562F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gruczołu</w:t>
            </w:r>
            <w:r w:rsidR="00A862A6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26562F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krokowego;</w:t>
            </w:r>
          </w:p>
          <w:p w14:paraId="61CD59EC" w14:textId="27BCC1B5" w:rsidR="003E618B" w:rsidRPr="00962E1B" w:rsidRDefault="00D61930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>morfologia krwi z rozmazem</w:t>
            </w:r>
            <w:r w:rsidR="00C90AA6"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  <w:r w:rsidR="006252F7"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5DE2FE6A" w14:textId="77777777" w:rsidR="003E618B" w:rsidRPr="00962E1B" w:rsidRDefault="00A94D35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stężenia PSA;</w:t>
            </w:r>
          </w:p>
          <w:p w14:paraId="610ADE39" w14:textId="77777777" w:rsidR="003E618B" w:rsidRPr="00962E1B" w:rsidRDefault="00A94D35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stężenia testosteronu;</w:t>
            </w:r>
          </w:p>
          <w:p w14:paraId="1F155772" w14:textId="2A3F3D55" w:rsidR="003E618B" w:rsidRPr="00962E1B" w:rsidRDefault="00A94D35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stężenia kreatyniny</w:t>
            </w:r>
            <w:r w:rsidR="009061AA"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061AA" w:rsidRPr="00962E1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475D5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w przypadku leczenia </w:t>
            </w:r>
            <w:proofErr w:type="spellStart"/>
            <w:r w:rsidR="00D475D5" w:rsidRPr="00962E1B">
              <w:rPr>
                <w:rFonts w:ascii="Times New Roman" w:hAnsi="Times New Roman" w:cs="Times New Roman"/>
                <w:sz w:val="20"/>
                <w:szCs w:val="20"/>
              </w:rPr>
              <w:t>olaparybem</w:t>
            </w:r>
            <w:proofErr w:type="spellEnd"/>
            <w:r w:rsidR="00D475D5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także</w:t>
            </w:r>
            <w:r w:rsidR="009061AA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wyliczenie </w:t>
            </w:r>
            <w:proofErr w:type="spellStart"/>
            <w:r w:rsidR="009061AA" w:rsidRPr="00962E1B">
              <w:rPr>
                <w:rFonts w:ascii="Times New Roman" w:hAnsi="Times New Roman" w:cs="Times New Roman"/>
                <w:sz w:val="20"/>
                <w:szCs w:val="20"/>
              </w:rPr>
              <w:t>klirensu</w:t>
            </w:r>
            <w:proofErr w:type="spellEnd"/>
            <w:r w:rsidR="009061AA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kreatyniny)</w:t>
            </w:r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5FF64C90" w14:textId="55386397" w:rsidR="003E618B" w:rsidRPr="00962E1B" w:rsidRDefault="00A94D35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stężenia bilirubiny</w:t>
            </w:r>
            <w:r w:rsidR="00C90AA6"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49770283" w14:textId="6F51821A" w:rsidR="003E618B" w:rsidRPr="00962E1B" w:rsidRDefault="00733D0D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</w:t>
            </w:r>
            <w:r w:rsidR="00C90AA6" w:rsidRPr="00962E1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6252F7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72783C5" w14:textId="01C1D1C4" w:rsidR="00056031" w:rsidRPr="00962E1B" w:rsidRDefault="00733D0D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proofErr w:type="spellEnd"/>
            <w:r w:rsidR="00C90AA6" w:rsidRPr="00962E1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E668B03" w14:textId="06A69B38" w:rsidR="00477A99" w:rsidRPr="00962E1B" w:rsidRDefault="00477A99" w:rsidP="00477A99">
            <w:pPr>
              <w:pStyle w:val="Akapitzlist"/>
              <w:numPr>
                <w:ilvl w:val="3"/>
                <w:numId w:val="4"/>
              </w:num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oznaczenie aktywności fosfatazy alkalicznej (w przypadku leczenia </w:t>
            </w:r>
            <w:proofErr w:type="spellStart"/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>dichlorkiem</w:t>
            </w:r>
            <w:proofErr w:type="spellEnd"/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radu-223);</w:t>
            </w:r>
          </w:p>
          <w:p w14:paraId="5E334491" w14:textId="7DC334F4" w:rsidR="00BE5454" w:rsidRPr="00962E1B" w:rsidRDefault="00056031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860160" w:rsidRPr="00962E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cyntygrafia kośćca</w:t>
            </w:r>
            <w:r w:rsidR="00603AEB" w:rsidRPr="00962E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3198FAA6" w14:textId="4ACB4ECD" w:rsidR="00444F53" w:rsidRPr="00962E1B" w:rsidRDefault="00056031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</w:t>
            </w:r>
            <w:r w:rsidR="00860160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brazowanie (rentgenografia lub tomografia komputerowa lub rezonans magnetyczny</w:t>
            </w:r>
            <w:r w:rsidR="00FD09D1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860160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 zależności od sytuacji klinicznej</w:t>
            </w:r>
            <w:r w:rsidR="002D154C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)</w:t>
            </w:r>
            <w:r w:rsidR="00FE61C2" w:rsidRPr="00962E1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5E1330EC" w14:textId="1A8B751D" w:rsidR="00444F53" w:rsidRPr="00962E1B" w:rsidRDefault="00C324DB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tomografia komputerowa jamy brzusznej i 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miednicy</w:t>
            </w:r>
            <w:r w:rsidR="00603AEB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(w przypadku leczenia</w:t>
            </w:r>
            <w:r w:rsidR="00477A99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E02AEC" w:rsidRPr="00962E1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apalutamidem</w:t>
            </w:r>
            <w:proofErr w:type="spellEnd"/>
            <w:r w:rsidR="00E02AEC" w:rsidRPr="00962E1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,</w:t>
            </w:r>
            <w:r w:rsidR="00EF14A9" w:rsidRPr="00962E1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EF14A9" w:rsidRPr="00962E1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darolutamidem</w:t>
            </w:r>
            <w:proofErr w:type="spellEnd"/>
            <w:r w:rsidR="00EF14A9" w:rsidRPr="00962E1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,</w:t>
            </w:r>
            <w:r w:rsidR="007243BA" w:rsidRPr="00962E1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E02AEC" w:rsidRPr="00962E1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enzalutamidem</w:t>
            </w:r>
            <w:proofErr w:type="spellEnd"/>
            <w:r w:rsidR="00EF14A9" w:rsidRPr="00962E1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E02AEC" w:rsidRPr="00962E1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chorych</w:t>
            </w:r>
            <w:r w:rsidR="00135F11" w:rsidRPr="00962E1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BC635B" w:rsidRPr="00962E1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na </w:t>
            </w:r>
            <w:proofErr w:type="spellStart"/>
            <w:r w:rsidR="00135F11" w:rsidRPr="00962E1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nm</w:t>
            </w:r>
            <w:r w:rsidR="00BC635B" w:rsidRPr="00962E1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CRPC</w:t>
            </w:r>
            <w:proofErr w:type="spellEnd"/>
            <w:r w:rsidR="005049D6" w:rsidRPr="00962E1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albo </w:t>
            </w:r>
            <w:proofErr w:type="spellStart"/>
            <w:r w:rsidR="005049D6" w:rsidRPr="00962E1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dichlorkiem</w:t>
            </w:r>
            <w:proofErr w:type="spellEnd"/>
            <w:r w:rsidR="005049D6" w:rsidRPr="00962E1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radu-223</w:t>
            </w:r>
            <w:r w:rsidRPr="00962E1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)</w:t>
            </w:r>
            <w:r w:rsidR="00603AEB" w:rsidRPr="00962E1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;</w:t>
            </w:r>
          </w:p>
          <w:p w14:paraId="5E0C2F2F" w14:textId="43245352" w:rsidR="00444F53" w:rsidRPr="00962E1B" w:rsidRDefault="00603AEB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rentgenografia </w:t>
            </w:r>
            <w:r w:rsidR="000B5942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lub tomografia komputerowa 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klatki piersiowej </w:t>
            </w:r>
            <w:r w:rsidR="005049D6" w:rsidRPr="00962E1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02AEC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przypadku leczenia</w:t>
            </w:r>
            <w:r w:rsidR="007243BA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5049D6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apalutamidem</w:t>
            </w:r>
            <w:proofErr w:type="spellEnd"/>
            <w:r w:rsidR="005049D6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="005049D6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darolutamidem</w:t>
            </w:r>
            <w:proofErr w:type="spellEnd"/>
            <w:r w:rsidR="005049D6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="005049D6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enzalutamidem</w:t>
            </w:r>
            <w:proofErr w:type="spellEnd"/>
            <w:r w:rsidR="005049D6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chorych na </w:t>
            </w:r>
            <w:proofErr w:type="spellStart"/>
            <w:r w:rsidR="005049D6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nmCRPC</w:t>
            </w:r>
            <w:proofErr w:type="spellEnd"/>
            <w:r w:rsidR="005049D6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albo </w:t>
            </w:r>
            <w:proofErr w:type="spellStart"/>
            <w:r w:rsidR="005049D6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dichlorkiem</w:t>
            </w:r>
            <w:proofErr w:type="spellEnd"/>
            <w:r w:rsidR="005049D6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radu-223</w:t>
            </w:r>
            <w:r w:rsidR="00E02AEC" w:rsidRPr="00962E1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;</w:t>
            </w:r>
          </w:p>
          <w:p w14:paraId="34D56E4C" w14:textId="43DCAA32" w:rsidR="00477A99" w:rsidRPr="00962E1B" w:rsidRDefault="00477A99" w:rsidP="00CA39DF">
            <w:pPr>
              <w:pStyle w:val="Akapitzlist"/>
              <w:numPr>
                <w:ilvl w:val="3"/>
                <w:numId w:val="4"/>
              </w:numPr>
              <w:spacing w:after="6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pomiar gęstości mineralnej kości (w przypadku leczenia </w:t>
            </w:r>
            <w:proofErr w:type="spellStart"/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>dichlorkiem</w:t>
            </w:r>
            <w:proofErr w:type="spellEnd"/>
            <w:r w:rsidRPr="00962E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radu-223 chorych z 4-5 przerzutami do kości);</w:t>
            </w:r>
          </w:p>
          <w:p w14:paraId="52C663B7" w14:textId="5E340628" w:rsidR="00B10952" w:rsidRPr="00962E1B" w:rsidRDefault="00444F53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457B0" w:rsidRPr="00962E1B">
              <w:rPr>
                <w:rFonts w:ascii="Times New Roman" w:hAnsi="Times New Roman" w:cs="Times New Roman"/>
                <w:sz w:val="20"/>
                <w:szCs w:val="20"/>
              </w:rPr>
              <w:t>nne badania w razie wskazań klinicznych.</w:t>
            </w:r>
          </w:p>
          <w:p w14:paraId="10319BB2" w14:textId="18F337CD" w:rsidR="000D3AFD" w:rsidRPr="00962E1B" w:rsidRDefault="000D3AFD" w:rsidP="00303C4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Badania obrazowe </w:t>
            </w:r>
            <w:r w:rsidR="00BE5454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powinny być 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wykonane w ciągu 3 miesięcy przed włączeniem do programu.</w:t>
            </w:r>
          </w:p>
          <w:p w14:paraId="0CFD3A5B" w14:textId="2CDCF9DF" w:rsidR="00895DD1" w:rsidRPr="00962E1B" w:rsidRDefault="00895DD1" w:rsidP="00303C4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Wstępne badania obrazowe musz</w:t>
            </w:r>
            <w:r w:rsidR="00D61930" w:rsidRPr="00962E1B">
              <w:rPr>
                <w:rFonts w:ascii="Times New Roman" w:hAnsi="Times New Roman" w:cs="Times New Roman"/>
                <w:sz w:val="20"/>
                <w:szCs w:val="20"/>
              </w:rPr>
              <w:t>ą umożliwiać późniejszą obiektywną ocenę odpowiedzi na leczenie wg aktualnych kryteriów RECIST</w:t>
            </w:r>
            <w:r w:rsidR="00BE5454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lub PCWG</w:t>
            </w:r>
            <w:r w:rsidR="00D61930" w:rsidRPr="00962E1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8C0C713" w14:textId="77777777" w:rsidR="00ED0B17" w:rsidRPr="00962E1B" w:rsidRDefault="00ED0B17" w:rsidP="00303C4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D03D8D" w14:textId="18BEC520" w:rsidR="007243BA" w:rsidRPr="00962E1B" w:rsidRDefault="007243BA" w:rsidP="00E85523">
            <w:pPr>
              <w:pStyle w:val="Akapitzlist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Monitorowanie bezpieczeństwa</w:t>
            </w:r>
            <w:r w:rsidR="00E85523" w:rsidRPr="00962E1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leczenia</w:t>
            </w:r>
          </w:p>
          <w:p w14:paraId="428706B5" w14:textId="2BD53622" w:rsidR="00877F06" w:rsidRPr="00962E1B" w:rsidRDefault="00877F06" w:rsidP="00303C4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morfologia krwi z rozmazem (</w:t>
            </w:r>
            <w:r w:rsidR="00576993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przypadku leczenia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docetakselem</w:t>
            </w:r>
            <w:proofErr w:type="spellEnd"/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z </w:t>
            </w:r>
            <w:proofErr w:type="spellStart"/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darolutamidem</w:t>
            </w:r>
            <w:proofErr w:type="spellEnd"/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CE324B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 dotyczy fazy </w:t>
            </w:r>
            <w:proofErr w:type="spellStart"/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monoterapii</w:t>
            </w:r>
            <w:proofErr w:type="spellEnd"/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darolutamidem</w:t>
            </w:r>
            <w:proofErr w:type="spellEnd"/>
            <w:r w:rsidR="00CE324B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1B4C1B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kabazytaksel</w:t>
            </w:r>
            <w:r w:rsidR="00576993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</w:t>
            </w:r>
            <w:proofErr w:type="spellEnd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olaparyb</w:t>
            </w:r>
            <w:r w:rsidR="00576993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</w:t>
            </w:r>
            <w:proofErr w:type="spellEnd"/>
            <w:r w:rsidR="00477A99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="00477A99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dichlorkiem</w:t>
            </w:r>
            <w:proofErr w:type="spellEnd"/>
            <w:r w:rsidR="00477A99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radu-223</w:t>
            </w:r>
            <w:r w:rsidR="007243BA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07274E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51192173" w14:textId="2D8A73A5" w:rsidR="00877F06" w:rsidRPr="00962E1B" w:rsidRDefault="00877F06" w:rsidP="00303C4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stężenia bilirubiny (</w:t>
            </w:r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przypadku leczenia </w:t>
            </w:r>
            <w:proofErr w:type="spellStart"/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docetakselem</w:t>
            </w:r>
            <w:proofErr w:type="spellEnd"/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z </w:t>
            </w:r>
            <w:proofErr w:type="spellStart"/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darolutamidem</w:t>
            </w:r>
            <w:proofErr w:type="spellEnd"/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CE324B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 dotyczy fazy </w:t>
            </w:r>
            <w:proofErr w:type="spellStart"/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monoterapii</w:t>
            </w:r>
            <w:proofErr w:type="spellEnd"/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darolutamidem</w:t>
            </w:r>
            <w:proofErr w:type="spellEnd"/>
            <w:r w:rsidR="00CE324B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kabazytaksel</w:t>
            </w:r>
            <w:r w:rsidR="00576993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</w:t>
            </w:r>
            <w:proofErr w:type="spellEnd"/>
            <w:r w:rsidR="00CE324B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04277E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4C250E7F" w14:textId="7B15F22E" w:rsidR="00877F06" w:rsidRPr="00962E1B" w:rsidRDefault="00877F06" w:rsidP="00477A99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oznaczenie aktywności aminotransferazy alaninowej (</w:t>
            </w:r>
            <w:r w:rsidR="00576993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przypadku </w:t>
            </w:r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leczenia </w:t>
            </w:r>
            <w:proofErr w:type="spellStart"/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docetakselem</w:t>
            </w:r>
            <w:proofErr w:type="spellEnd"/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z </w:t>
            </w:r>
            <w:proofErr w:type="spellStart"/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darolutamidem</w:t>
            </w:r>
            <w:proofErr w:type="spellEnd"/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CE324B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 dotyczy fazy </w:t>
            </w:r>
            <w:proofErr w:type="spellStart"/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monoterapii</w:t>
            </w:r>
            <w:proofErr w:type="spellEnd"/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darolutamidem</w:t>
            </w:r>
            <w:proofErr w:type="spellEnd"/>
            <w:r w:rsidR="00CE324B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kabazytaksel</w:t>
            </w:r>
            <w:r w:rsidR="00576993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</w:t>
            </w:r>
            <w:proofErr w:type="spellEnd"/>
            <w:r w:rsidR="006252F7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);</w:t>
            </w:r>
          </w:p>
          <w:p w14:paraId="44A9F02F" w14:textId="532096CA" w:rsidR="00877F06" w:rsidRPr="00962E1B" w:rsidRDefault="00877F06" w:rsidP="00477A99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oznaczenie aktywności aminotransferazy 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asparaginianowej</w:t>
            </w:r>
            <w:proofErr w:type="spellEnd"/>
            <w:r w:rsidR="006252F7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r w:rsidR="00576993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przypadku leczenia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docetakselem</w:t>
            </w:r>
            <w:proofErr w:type="spellEnd"/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z </w:t>
            </w:r>
            <w:proofErr w:type="spellStart"/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darolutamidem</w:t>
            </w:r>
            <w:proofErr w:type="spellEnd"/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D35C74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 dotyczy fazy </w:t>
            </w:r>
            <w:proofErr w:type="spellStart"/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monoterapii</w:t>
            </w:r>
            <w:proofErr w:type="spellEnd"/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darolutamidem</w:t>
            </w:r>
            <w:proofErr w:type="spellEnd"/>
            <w:r w:rsidR="00D35C74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1B4C1B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  <w:r w:rsidR="00D475D5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kabazytaksel</w:t>
            </w:r>
            <w:r w:rsidR="00576993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</w:t>
            </w:r>
            <w:proofErr w:type="spellEnd"/>
            <w:r w:rsidR="006252F7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);</w:t>
            </w:r>
          </w:p>
          <w:p w14:paraId="054F7438" w14:textId="3A39B5AF" w:rsidR="00477A99" w:rsidRPr="00962E1B" w:rsidRDefault="00477A99" w:rsidP="00477A99">
            <w:pPr>
              <w:pStyle w:val="Akapitzlist"/>
              <w:numPr>
                <w:ilvl w:val="3"/>
                <w:numId w:val="4"/>
              </w:numPr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oznaczenie aktywności fosfatazy alkalicznej (w przypadku leczenia 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dichlorkiem</w:t>
            </w:r>
            <w:proofErr w:type="spellEnd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radu-223);</w:t>
            </w:r>
          </w:p>
          <w:p w14:paraId="3D0873CE" w14:textId="26A169B5" w:rsidR="00BE4901" w:rsidRPr="00962E1B" w:rsidRDefault="00BE4901" w:rsidP="00303C4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stężenia kreatyniny (</w:t>
            </w:r>
            <w:r w:rsidR="00576993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przypadku leczenia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olaparyb</w:t>
            </w:r>
            <w:r w:rsidR="00576993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</w:t>
            </w:r>
            <w:proofErr w:type="spellEnd"/>
            <w:r w:rsidR="004377CE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także wyliczenie </w:t>
            </w:r>
            <w:proofErr w:type="spellStart"/>
            <w:r w:rsidR="004377CE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klirensu</w:t>
            </w:r>
            <w:proofErr w:type="spellEnd"/>
            <w:r w:rsidR="004377CE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kreatyniny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);</w:t>
            </w:r>
          </w:p>
          <w:p w14:paraId="5DADBD6A" w14:textId="77777777" w:rsidR="001B35D2" w:rsidRPr="00962E1B" w:rsidRDefault="001B35D2" w:rsidP="001B35D2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Badania laboratoryjne wykonuje się:</w:t>
            </w:r>
          </w:p>
          <w:p w14:paraId="6D4882B7" w14:textId="77777777" w:rsidR="001B35D2" w:rsidRPr="00962E1B" w:rsidRDefault="001B35D2" w:rsidP="001B35D2">
            <w:pPr>
              <w:pStyle w:val="Akapitzlist"/>
              <w:numPr>
                <w:ilvl w:val="5"/>
                <w:numId w:val="4"/>
              </w:numPr>
              <w:spacing w:after="60" w:line="276" w:lineRule="auto"/>
              <w:ind w:left="51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badania krwi regularnie co 2-3 miesiące, również przy braku wskazań klinicznych;</w:t>
            </w:r>
          </w:p>
          <w:p w14:paraId="11CBA650" w14:textId="66A3B014" w:rsidR="001B35D2" w:rsidRPr="00962E1B" w:rsidRDefault="001B35D2" w:rsidP="001B35D2">
            <w:pPr>
              <w:pStyle w:val="Akapitzlist"/>
              <w:numPr>
                <w:ilvl w:val="5"/>
                <w:numId w:val="4"/>
              </w:numPr>
              <w:spacing w:after="60" w:line="276" w:lineRule="auto"/>
              <w:ind w:left="51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przed podaniem każdej dawki leku w przypadku leczenia </w:t>
            </w:r>
            <w:proofErr w:type="spellStart"/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kabazytakselem</w:t>
            </w:r>
            <w:proofErr w:type="spellEnd"/>
            <w:r w:rsidR="00AC738E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4377CE" w:rsidRPr="00962E1B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="004377CE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="004377CE" w:rsidRPr="00962E1B">
              <w:rPr>
                <w:rFonts w:ascii="Times New Roman" w:hAnsi="Times New Roman" w:cs="Times New Roman"/>
                <w:sz w:val="20"/>
                <w:szCs w:val="20"/>
              </w:rPr>
              <w:t>darolutamidem</w:t>
            </w:r>
            <w:proofErr w:type="spellEnd"/>
            <w:r w:rsidR="004377CE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5C74" w:rsidRPr="00962E1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77CE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nie dotyczy fazy </w:t>
            </w:r>
            <w:proofErr w:type="spellStart"/>
            <w:r w:rsidR="004377CE" w:rsidRPr="00962E1B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="004377CE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377CE" w:rsidRPr="00962E1B">
              <w:rPr>
                <w:rFonts w:ascii="Times New Roman" w:hAnsi="Times New Roman" w:cs="Times New Roman"/>
                <w:sz w:val="20"/>
                <w:szCs w:val="20"/>
              </w:rPr>
              <w:t>darolutamidem</w:t>
            </w:r>
            <w:proofErr w:type="spellEnd"/>
            <w:r w:rsidR="00D35C74" w:rsidRPr="00962E1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B4C1B" w:rsidRPr="00962E1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377CE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C738E" w:rsidRPr="00962E1B">
              <w:rPr>
                <w:rFonts w:ascii="Times New Roman" w:hAnsi="Times New Roman" w:cs="Times New Roman"/>
                <w:sz w:val="20"/>
                <w:szCs w:val="20"/>
              </w:rPr>
              <w:t>dichlorkiem</w:t>
            </w:r>
            <w:proofErr w:type="spellEnd"/>
            <w:r w:rsidR="004377CE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738E" w:rsidRPr="00962E1B">
              <w:rPr>
                <w:rFonts w:ascii="Times New Roman" w:hAnsi="Times New Roman" w:cs="Times New Roman"/>
                <w:sz w:val="20"/>
                <w:szCs w:val="20"/>
              </w:rPr>
              <w:t>radu</w:t>
            </w:r>
            <w:r w:rsidR="004377CE" w:rsidRPr="00962E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C738E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223 oraz jednorazowo w okresie 4-8 tygodni od momentu podania ostatniej dawki </w:t>
            </w:r>
            <w:proofErr w:type="spellStart"/>
            <w:r w:rsidR="00AC738E" w:rsidRPr="00962E1B">
              <w:rPr>
                <w:rFonts w:ascii="Times New Roman" w:hAnsi="Times New Roman" w:cs="Times New Roman"/>
                <w:sz w:val="20"/>
                <w:szCs w:val="20"/>
              </w:rPr>
              <w:t>dichlorku</w:t>
            </w:r>
            <w:proofErr w:type="spellEnd"/>
            <w:r w:rsidR="00AC738E"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radu-223;</w:t>
            </w:r>
          </w:p>
          <w:p w14:paraId="4CB7FA0B" w14:textId="77777777" w:rsidR="001B35D2" w:rsidRPr="00962E1B" w:rsidRDefault="001B35D2" w:rsidP="001B35D2">
            <w:pPr>
              <w:pStyle w:val="Akapitzlist"/>
              <w:numPr>
                <w:ilvl w:val="5"/>
                <w:numId w:val="4"/>
              </w:numPr>
              <w:spacing w:after="60" w:line="276" w:lineRule="auto"/>
              <w:ind w:left="51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morfologia krwi z rozmazem, oznaczenie stężenia kreatyniny i wyliczenie 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klirensu</w:t>
            </w:r>
            <w:proofErr w:type="spellEnd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kreatyniny nie rzadziej niż co 1 miesiąc (w przypadku leczenia 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olaparybem</w:t>
            </w:r>
            <w:proofErr w:type="spellEnd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).</w:t>
            </w:r>
          </w:p>
          <w:p w14:paraId="40CC2A27" w14:textId="77777777" w:rsidR="001B35D2" w:rsidRPr="00962E1B" w:rsidRDefault="001B35D2" w:rsidP="00814B09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46A2650B" w14:textId="15BF6159" w:rsidR="001B35D2" w:rsidRPr="00962E1B" w:rsidRDefault="001B35D2" w:rsidP="00E85523">
            <w:pPr>
              <w:pStyle w:val="Akapitzlist"/>
              <w:numPr>
                <w:ilvl w:val="0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lastRenderedPageBreak/>
              <w:t>Monitorowanie skuteczności</w:t>
            </w:r>
            <w:r w:rsidR="00E85523" w:rsidRPr="00962E1B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leczenia</w:t>
            </w:r>
          </w:p>
          <w:p w14:paraId="5446CD88" w14:textId="597CA932" w:rsidR="00877F06" w:rsidRPr="00962E1B" w:rsidRDefault="00877F06" w:rsidP="00814B09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stężenia PSA, nie rzadziej niż co 3 miesiące,</w:t>
            </w:r>
            <w:r w:rsidR="00475788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 w przypadku wskazań klinicznych decyzją lekarza kolejne oznaczenia mogą być wykonywane częściej;</w:t>
            </w:r>
          </w:p>
          <w:p w14:paraId="3B47CE65" w14:textId="632EF206" w:rsidR="00877F06" w:rsidRPr="00962E1B" w:rsidRDefault="00877F06" w:rsidP="00814B09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badania obrazowe (</w:t>
            </w:r>
            <w:r w:rsidR="00CD7BC8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RTG/</w:t>
            </w: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TK/MR) w zależności od badania wykonanego przy kwalifikacji, nie rzadziej niż co 6 miesięcy;</w:t>
            </w:r>
          </w:p>
          <w:p w14:paraId="4CC5D96C" w14:textId="1B07B137" w:rsidR="00877F06" w:rsidRPr="00962E1B" w:rsidRDefault="00877F06" w:rsidP="00814B09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scyntygrafia nie rzadziej niż co 6 miesięcy</w:t>
            </w:r>
            <w:r w:rsidR="00CD7BC8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5D32F12E" w14:textId="72573B43" w:rsidR="00877F06" w:rsidRPr="00962E1B" w:rsidRDefault="00877F06" w:rsidP="00814B09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inne badania w zależności od sytuacji klinicznej</w:t>
            </w:r>
            <w:r w:rsidR="00303C40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0D124116" w14:textId="59F06937" w:rsidR="00ED0B17" w:rsidRPr="00962E1B" w:rsidRDefault="00D52694" w:rsidP="00303C40">
            <w:pPr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Badania oceniające odpowiedź powinny być wykonywane zawsze przy klinicznym podejrzeniu progresji</w:t>
            </w:r>
            <w:r w:rsidR="005E5777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11F93021" w14:textId="77777777" w:rsidR="007243BA" w:rsidRPr="00962E1B" w:rsidRDefault="007243BA" w:rsidP="00814B09">
            <w:pPr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 podstawie ww. badań w celu monitorowania skuteczności leczenia przekazywane są dane dotyczące wybranych wskaźników skuteczności terapii, dla których jest możliwe ich określenie przez lekarza prowadzącego dla indywidualnego pacjenta, spośród:</w:t>
            </w:r>
          </w:p>
          <w:p w14:paraId="1FB82A39" w14:textId="77777777" w:rsidR="007243BA" w:rsidRPr="00962E1B" w:rsidRDefault="007243BA" w:rsidP="001B4C1B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całkowita odpowiedź (CR),</w:t>
            </w:r>
          </w:p>
          <w:p w14:paraId="77388413" w14:textId="77777777" w:rsidR="007243BA" w:rsidRPr="00962E1B" w:rsidRDefault="007243BA" w:rsidP="001B4C1B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częściowa odpowiedź (PR) albo 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nonCR</w:t>
            </w:r>
            <w:proofErr w:type="spellEnd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nonPD</w:t>
            </w:r>
            <w:proofErr w:type="spellEnd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4E2FD605" w14:textId="0BA9BF43" w:rsidR="007243BA" w:rsidRPr="00962E1B" w:rsidRDefault="007243BA" w:rsidP="001B4C1B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stabilizacja (SD) albo non/CR/</w:t>
            </w:r>
            <w:proofErr w:type="spellStart"/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nonPD</w:t>
            </w:r>
            <w:proofErr w:type="spellEnd"/>
            <w:r w:rsidR="0007274E"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1C32673E" w14:textId="77777777" w:rsidR="007243BA" w:rsidRPr="00962E1B" w:rsidRDefault="007243BA" w:rsidP="001B4C1B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(PD),</w:t>
            </w:r>
          </w:p>
          <w:p w14:paraId="54AF7ECD" w14:textId="77777777" w:rsidR="007243BA" w:rsidRPr="00962E1B" w:rsidRDefault="007243BA" w:rsidP="001B4C1B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całkowite przeżycie (OS) albo czas wolny od progresji (PFS).</w:t>
            </w:r>
          </w:p>
          <w:p w14:paraId="6F3C9B41" w14:textId="77777777" w:rsidR="003E618B" w:rsidRPr="00962E1B" w:rsidRDefault="003E618B" w:rsidP="00814B09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  <w:p w14:paraId="07D5C944" w14:textId="5AD58532" w:rsidR="0026562F" w:rsidRPr="00962E1B" w:rsidRDefault="0026562F" w:rsidP="00E85523">
            <w:pPr>
              <w:pStyle w:val="Akapitzlist"/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ind w:left="227" w:hanging="227"/>
              <w:contextualSpacing w:val="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962E1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Monitorowanie</w:t>
            </w:r>
            <w:r w:rsidR="00A862A6" w:rsidRPr="00962E1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962E1B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programu</w:t>
            </w:r>
          </w:p>
          <w:p w14:paraId="7C8B6F83" w14:textId="77777777" w:rsidR="00CD7BC8" w:rsidRPr="00962E1B" w:rsidRDefault="00CD7BC8" w:rsidP="00814B09">
            <w:pPr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gromadzenie w dokumentacji medycznej danych dotyczących monitorowania leczenia i każdorazowe ich przedstawianie na żądanie kontrolerów Narodowego Funduszu Zdrowia;</w:t>
            </w:r>
          </w:p>
          <w:p w14:paraId="2671A91B" w14:textId="241E37AC" w:rsidR="007243BA" w:rsidRPr="00962E1B" w:rsidRDefault="007243BA" w:rsidP="00814B09">
            <w:pPr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uzupełnianie danych zawartych w elektronicznym systemie monitorowania programów lekowych, w tym przekazywanie danych dotyczących wskaźników skuteczności terapii zawartych w pkt. </w:t>
            </w:r>
            <w:r w:rsidR="001B4C1B" w:rsidRPr="00962E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 xml:space="preserve"> dostępnym za pomocą aplikacji internetowej udostępnionej przez OW NFZ, z częstotliwością zgodną z opisem programu oraz na zakończenie leczenia;</w:t>
            </w:r>
          </w:p>
          <w:p w14:paraId="57F47187" w14:textId="6EAAB86A" w:rsidR="00CD7BC8" w:rsidRPr="00962E1B" w:rsidRDefault="00CD7BC8" w:rsidP="00814B09">
            <w:pPr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E1B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 NFZ (informacje przekazuje się do NFZ w formie papierowej lub w formie elektronicznej) zgodnie z wymaganiami opublikowanymi przez NFZ.</w:t>
            </w:r>
          </w:p>
          <w:p w14:paraId="76556F78" w14:textId="418F2C67" w:rsidR="00491560" w:rsidRPr="00303C40" w:rsidRDefault="00491560" w:rsidP="00303C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14:paraId="5C623218" w14:textId="77777777" w:rsidR="00A06AAE" w:rsidRPr="002B71D5" w:rsidRDefault="00A06AAE" w:rsidP="00B47AD3">
      <w:pPr>
        <w:jc w:val="both"/>
        <w:rPr>
          <w:sz w:val="2"/>
          <w:szCs w:val="2"/>
        </w:rPr>
      </w:pPr>
    </w:p>
    <w:sectPr w:rsidR="00A06AAE" w:rsidRPr="002B71D5" w:rsidSect="003B3345"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5A6CF" w14:textId="77777777" w:rsidR="008C0CA9" w:rsidRDefault="008C0CA9">
      <w:pPr>
        <w:spacing w:after="0" w:line="240" w:lineRule="auto"/>
      </w:pPr>
      <w:r>
        <w:separator/>
      </w:r>
    </w:p>
  </w:endnote>
  <w:endnote w:type="continuationSeparator" w:id="0">
    <w:p w14:paraId="29597888" w14:textId="77777777" w:rsidR="008C0CA9" w:rsidRDefault="008C0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9284A" w14:textId="77777777" w:rsidR="008C0CA9" w:rsidRDefault="008C0CA9">
      <w:pPr>
        <w:spacing w:after="0" w:line="240" w:lineRule="auto"/>
      </w:pPr>
      <w:r>
        <w:separator/>
      </w:r>
    </w:p>
  </w:footnote>
  <w:footnote w:type="continuationSeparator" w:id="0">
    <w:p w14:paraId="356373C0" w14:textId="77777777" w:rsidR="008C0CA9" w:rsidRDefault="008C0C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5141"/>
    <w:multiLevelType w:val="hybridMultilevel"/>
    <w:tmpl w:val="E77E7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06273"/>
    <w:multiLevelType w:val="hybridMultilevel"/>
    <w:tmpl w:val="6CAC7F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71D6E"/>
    <w:multiLevelType w:val="hybridMultilevel"/>
    <w:tmpl w:val="10F023C0"/>
    <w:lvl w:ilvl="0" w:tplc="A2646A7C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8576EA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41A64FC8"/>
    <w:multiLevelType w:val="hybridMultilevel"/>
    <w:tmpl w:val="FDA68116"/>
    <w:lvl w:ilvl="0" w:tplc="834A3C6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C4183A"/>
    <w:multiLevelType w:val="hybridMultilevel"/>
    <w:tmpl w:val="1AD26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AD693D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59A90491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5DD21ECD"/>
    <w:multiLevelType w:val="hybridMultilevel"/>
    <w:tmpl w:val="C8E6B36A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9" w15:restartNumberingAfterBreak="0">
    <w:nsid w:val="5EDF5128"/>
    <w:multiLevelType w:val="hybridMultilevel"/>
    <w:tmpl w:val="71E4D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C3239"/>
    <w:multiLevelType w:val="hybridMultilevel"/>
    <w:tmpl w:val="47CA690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0733D4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6C4B580D"/>
    <w:multiLevelType w:val="hybridMultilevel"/>
    <w:tmpl w:val="76BECB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1D22EB"/>
    <w:multiLevelType w:val="multilevel"/>
    <w:tmpl w:val="7304F10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79A44EFD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7B7E6FD9"/>
    <w:multiLevelType w:val="hybridMultilevel"/>
    <w:tmpl w:val="CD6C64E2"/>
    <w:lvl w:ilvl="0" w:tplc="46A24018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57264962">
    <w:abstractNumId w:val="6"/>
  </w:num>
  <w:num w:numId="2" w16cid:durableId="1581063842">
    <w:abstractNumId w:val="7"/>
  </w:num>
  <w:num w:numId="3" w16cid:durableId="1200821174">
    <w:abstractNumId w:val="3"/>
  </w:num>
  <w:num w:numId="4" w16cid:durableId="455874331">
    <w:abstractNumId w:val="11"/>
  </w:num>
  <w:num w:numId="5" w16cid:durableId="719864031">
    <w:abstractNumId w:val="8"/>
  </w:num>
  <w:num w:numId="6" w16cid:durableId="1858080902">
    <w:abstractNumId w:val="2"/>
  </w:num>
  <w:num w:numId="7" w16cid:durableId="1404252016">
    <w:abstractNumId w:val="15"/>
  </w:num>
  <w:num w:numId="8" w16cid:durableId="35399182">
    <w:abstractNumId w:val="14"/>
  </w:num>
  <w:num w:numId="9" w16cid:durableId="1672364899">
    <w:abstractNumId w:val="13"/>
  </w:num>
  <w:num w:numId="10" w16cid:durableId="2010137337">
    <w:abstractNumId w:val="1"/>
  </w:num>
  <w:num w:numId="11" w16cid:durableId="1923249124">
    <w:abstractNumId w:val="10"/>
  </w:num>
  <w:num w:numId="12" w16cid:durableId="1882864715">
    <w:abstractNumId w:val="5"/>
  </w:num>
  <w:num w:numId="13" w16cid:durableId="1525241800">
    <w:abstractNumId w:val="12"/>
  </w:num>
  <w:num w:numId="14" w16cid:durableId="1092430425">
    <w:abstractNumId w:val="9"/>
  </w:num>
  <w:num w:numId="15" w16cid:durableId="1816995695">
    <w:abstractNumId w:val="0"/>
  </w:num>
  <w:num w:numId="16" w16cid:durableId="66312444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560"/>
    <w:rsid w:val="00004013"/>
    <w:rsid w:val="00004151"/>
    <w:rsid w:val="00005880"/>
    <w:rsid w:val="00006A15"/>
    <w:rsid w:val="00011344"/>
    <w:rsid w:val="00012D25"/>
    <w:rsid w:val="000153AC"/>
    <w:rsid w:val="00016CEF"/>
    <w:rsid w:val="00017DA7"/>
    <w:rsid w:val="00030447"/>
    <w:rsid w:val="00031C3D"/>
    <w:rsid w:val="000321AA"/>
    <w:rsid w:val="00032373"/>
    <w:rsid w:val="00032A01"/>
    <w:rsid w:val="00032E20"/>
    <w:rsid w:val="00035F13"/>
    <w:rsid w:val="00036005"/>
    <w:rsid w:val="000362B4"/>
    <w:rsid w:val="0004148E"/>
    <w:rsid w:val="0004277E"/>
    <w:rsid w:val="000432BE"/>
    <w:rsid w:val="000436A2"/>
    <w:rsid w:val="0004423A"/>
    <w:rsid w:val="00045006"/>
    <w:rsid w:val="00046BC9"/>
    <w:rsid w:val="0004714F"/>
    <w:rsid w:val="000530A5"/>
    <w:rsid w:val="00053AAB"/>
    <w:rsid w:val="000549C2"/>
    <w:rsid w:val="000554E5"/>
    <w:rsid w:val="00055A75"/>
    <w:rsid w:val="00056031"/>
    <w:rsid w:val="0005638A"/>
    <w:rsid w:val="00060064"/>
    <w:rsid w:val="000632C9"/>
    <w:rsid w:val="00065870"/>
    <w:rsid w:val="00067075"/>
    <w:rsid w:val="00070DB6"/>
    <w:rsid w:val="00072340"/>
    <w:rsid w:val="0007274E"/>
    <w:rsid w:val="00074CFC"/>
    <w:rsid w:val="00074F59"/>
    <w:rsid w:val="00077259"/>
    <w:rsid w:val="00081611"/>
    <w:rsid w:val="00081BD9"/>
    <w:rsid w:val="00083175"/>
    <w:rsid w:val="00083289"/>
    <w:rsid w:val="00083719"/>
    <w:rsid w:val="00083F5F"/>
    <w:rsid w:val="0008541A"/>
    <w:rsid w:val="00085E89"/>
    <w:rsid w:val="000871A6"/>
    <w:rsid w:val="00090EC6"/>
    <w:rsid w:val="00095981"/>
    <w:rsid w:val="00095B9D"/>
    <w:rsid w:val="00095F4B"/>
    <w:rsid w:val="0009679D"/>
    <w:rsid w:val="000968B7"/>
    <w:rsid w:val="000A3FB2"/>
    <w:rsid w:val="000A456C"/>
    <w:rsid w:val="000A507C"/>
    <w:rsid w:val="000A5FB6"/>
    <w:rsid w:val="000A626B"/>
    <w:rsid w:val="000A6D83"/>
    <w:rsid w:val="000B1521"/>
    <w:rsid w:val="000B2405"/>
    <w:rsid w:val="000B33A5"/>
    <w:rsid w:val="000B3D34"/>
    <w:rsid w:val="000B4003"/>
    <w:rsid w:val="000B57E7"/>
    <w:rsid w:val="000B5942"/>
    <w:rsid w:val="000B6E0C"/>
    <w:rsid w:val="000B74CB"/>
    <w:rsid w:val="000C4336"/>
    <w:rsid w:val="000C5476"/>
    <w:rsid w:val="000C5D0D"/>
    <w:rsid w:val="000D0532"/>
    <w:rsid w:val="000D1537"/>
    <w:rsid w:val="000D1AC1"/>
    <w:rsid w:val="000D3AFD"/>
    <w:rsid w:val="000D62D3"/>
    <w:rsid w:val="000D6C5B"/>
    <w:rsid w:val="000D6E31"/>
    <w:rsid w:val="000D7C1E"/>
    <w:rsid w:val="000E46F4"/>
    <w:rsid w:val="000F0412"/>
    <w:rsid w:val="000F2B9B"/>
    <w:rsid w:val="000F6688"/>
    <w:rsid w:val="000F68FE"/>
    <w:rsid w:val="000F6A88"/>
    <w:rsid w:val="00100F5E"/>
    <w:rsid w:val="001029B3"/>
    <w:rsid w:val="00104142"/>
    <w:rsid w:val="00104B0B"/>
    <w:rsid w:val="00104DC7"/>
    <w:rsid w:val="00105844"/>
    <w:rsid w:val="00105A4E"/>
    <w:rsid w:val="0010600E"/>
    <w:rsid w:val="0010749C"/>
    <w:rsid w:val="00115F9E"/>
    <w:rsid w:val="00122C86"/>
    <w:rsid w:val="00123689"/>
    <w:rsid w:val="0012638D"/>
    <w:rsid w:val="0012779C"/>
    <w:rsid w:val="0012787C"/>
    <w:rsid w:val="001303DC"/>
    <w:rsid w:val="001332C2"/>
    <w:rsid w:val="00133C8D"/>
    <w:rsid w:val="0013513C"/>
    <w:rsid w:val="00135F11"/>
    <w:rsid w:val="00136762"/>
    <w:rsid w:val="00141E98"/>
    <w:rsid w:val="0014301C"/>
    <w:rsid w:val="0014331D"/>
    <w:rsid w:val="00145274"/>
    <w:rsid w:val="00150FCF"/>
    <w:rsid w:val="00151B72"/>
    <w:rsid w:val="00151BE1"/>
    <w:rsid w:val="00151D9E"/>
    <w:rsid w:val="00154E29"/>
    <w:rsid w:val="001559E7"/>
    <w:rsid w:val="00155EC0"/>
    <w:rsid w:val="001567EA"/>
    <w:rsid w:val="001578E7"/>
    <w:rsid w:val="00157C65"/>
    <w:rsid w:val="001605D7"/>
    <w:rsid w:val="00161D82"/>
    <w:rsid w:val="001626A4"/>
    <w:rsid w:val="0016374A"/>
    <w:rsid w:val="00164A8D"/>
    <w:rsid w:val="00165523"/>
    <w:rsid w:val="0017211B"/>
    <w:rsid w:val="00172C00"/>
    <w:rsid w:val="00172F33"/>
    <w:rsid w:val="00173D3F"/>
    <w:rsid w:val="00176AE3"/>
    <w:rsid w:val="00177493"/>
    <w:rsid w:val="0018076B"/>
    <w:rsid w:val="00180D1A"/>
    <w:rsid w:val="00182A3C"/>
    <w:rsid w:val="001844BC"/>
    <w:rsid w:val="001851F8"/>
    <w:rsid w:val="001869D7"/>
    <w:rsid w:val="0018752D"/>
    <w:rsid w:val="00187814"/>
    <w:rsid w:val="001901F5"/>
    <w:rsid w:val="00190461"/>
    <w:rsid w:val="0019197B"/>
    <w:rsid w:val="001939DF"/>
    <w:rsid w:val="00194617"/>
    <w:rsid w:val="001946CB"/>
    <w:rsid w:val="001964C4"/>
    <w:rsid w:val="00197005"/>
    <w:rsid w:val="001A18DE"/>
    <w:rsid w:val="001A2596"/>
    <w:rsid w:val="001A5237"/>
    <w:rsid w:val="001A630D"/>
    <w:rsid w:val="001A7D5A"/>
    <w:rsid w:val="001B0E04"/>
    <w:rsid w:val="001B35D2"/>
    <w:rsid w:val="001B4C1B"/>
    <w:rsid w:val="001B68C0"/>
    <w:rsid w:val="001B76C5"/>
    <w:rsid w:val="001C004F"/>
    <w:rsid w:val="001C02C0"/>
    <w:rsid w:val="001C15A6"/>
    <w:rsid w:val="001C3932"/>
    <w:rsid w:val="001C4395"/>
    <w:rsid w:val="001C45DB"/>
    <w:rsid w:val="001C5F43"/>
    <w:rsid w:val="001C75D8"/>
    <w:rsid w:val="001D1B35"/>
    <w:rsid w:val="001D38F9"/>
    <w:rsid w:val="001D57D1"/>
    <w:rsid w:val="001D6DFB"/>
    <w:rsid w:val="001E0E54"/>
    <w:rsid w:val="001E1CA9"/>
    <w:rsid w:val="001E2C43"/>
    <w:rsid w:val="001E417E"/>
    <w:rsid w:val="001E68A8"/>
    <w:rsid w:val="001F51D5"/>
    <w:rsid w:val="001F5D94"/>
    <w:rsid w:val="001F712D"/>
    <w:rsid w:val="00200550"/>
    <w:rsid w:val="002038A1"/>
    <w:rsid w:val="00204A52"/>
    <w:rsid w:val="00204A6A"/>
    <w:rsid w:val="00205573"/>
    <w:rsid w:val="00205686"/>
    <w:rsid w:val="00205FBF"/>
    <w:rsid w:val="00212005"/>
    <w:rsid w:val="00212807"/>
    <w:rsid w:val="002132F5"/>
    <w:rsid w:val="00214A0B"/>
    <w:rsid w:val="00214F80"/>
    <w:rsid w:val="00215AC8"/>
    <w:rsid w:val="00220AAE"/>
    <w:rsid w:val="00220BF7"/>
    <w:rsid w:val="00226E3C"/>
    <w:rsid w:val="00227946"/>
    <w:rsid w:val="00232774"/>
    <w:rsid w:val="00233DFF"/>
    <w:rsid w:val="00233F4E"/>
    <w:rsid w:val="00235485"/>
    <w:rsid w:val="00235DE9"/>
    <w:rsid w:val="00237BDE"/>
    <w:rsid w:val="00237D3C"/>
    <w:rsid w:val="00240088"/>
    <w:rsid w:val="00243D79"/>
    <w:rsid w:val="00243E4E"/>
    <w:rsid w:val="00245C46"/>
    <w:rsid w:val="002467A0"/>
    <w:rsid w:val="00246D05"/>
    <w:rsid w:val="00251F3F"/>
    <w:rsid w:val="00251FC9"/>
    <w:rsid w:val="00252958"/>
    <w:rsid w:val="002551D7"/>
    <w:rsid w:val="0025617D"/>
    <w:rsid w:val="002626B6"/>
    <w:rsid w:val="002635D6"/>
    <w:rsid w:val="0026562F"/>
    <w:rsid w:val="002729FF"/>
    <w:rsid w:val="00276019"/>
    <w:rsid w:val="002764D7"/>
    <w:rsid w:val="00276920"/>
    <w:rsid w:val="0028330F"/>
    <w:rsid w:val="00286939"/>
    <w:rsid w:val="00287530"/>
    <w:rsid w:val="00290805"/>
    <w:rsid w:val="002908D9"/>
    <w:rsid w:val="00294480"/>
    <w:rsid w:val="00294C06"/>
    <w:rsid w:val="00296F57"/>
    <w:rsid w:val="002A35BE"/>
    <w:rsid w:val="002A6F15"/>
    <w:rsid w:val="002A7745"/>
    <w:rsid w:val="002A77C9"/>
    <w:rsid w:val="002B2709"/>
    <w:rsid w:val="002B3AD8"/>
    <w:rsid w:val="002B3DCB"/>
    <w:rsid w:val="002B48F6"/>
    <w:rsid w:val="002B625C"/>
    <w:rsid w:val="002B71D5"/>
    <w:rsid w:val="002B796C"/>
    <w:rsid w:val="002B7F76"/>
    <w:rsid w:val="002C1D65"/>
    <w:rsid w:val="002C6246"/>
    <w:rsid w:val="002C6358"/>
    <w:rsid w:val="002C7612"/>
    <w:rsid w:val="002C7911"/>
    <w:rsid w:val="002C7AF5"/>
    <w:rsid w:val="002D0C00"/>
    <w:rsid w:val="002D154C"/>
    <w:rsid w:val="002D1EC1"/>
    <w:rsid w:val="002D241D"/>
    <w:rsid w:val="002D2655"/>
    <w:rsid w:val="002D5B3D"/>
    <w:rsid w:val="002D614C"/>
    <w:rsid w:val="002D7748"/>
    <w:rsid w:val="002E2FAA"/>
    <w:rsid w:val="002E3FC5"/>
    <w:rsid w:val="002E4F9E"/>
    <w:rsid w:val="002F04FC"/>
    <w:rsid w:val="002F07E6"/>
    <w:rsid w:val="002F2036"/>
    <w:rsid w:val="002F2C20"/>
    <w:rsid w:val="002F2E13"/>
    <w:rsid w:val="002F4BBC"/>
    <w:rsid w:val="002F4D43"/>
    <w:rsid w:val="002F5B4E"/>
    <w:rsid w:val="002F5FEE"/>
    <w:rsid w:val="002F615D"/>
    <w:rsid w:val="00301498"/>
    <w:rsid w:val="00303C40"/>
    <w:rsid w:val="003055B5"/>
    <w:rsid w:val="003060C6"/>
    <w:rsid w:val="00313770"/>
    <w:rsid w:val="00313993"/>
    <w:rsid w:val="00317350"/>
    <w:rsid w:val="00317F56"/>
    <w:rsid w:val="0032025F"/>
    <w:rsid w:val="00323350"/>
    <w:rsid w:val="00323A57"/>
    <w:rsid w:val="00323E9A"/>
    <w:rsid w:val="003256BC"/>
    <w:rsid w:val="00327285"/>
    <w:rsid w:val="003278F7"/>
    <w:rsid w:val="00327A30"/>
    <w:rsid w:val="00327C66"/>
    <w:rsid w:val="00330875"/>
    <w:rsid w:val="00332918"/>
    <w:rsid w:val="00337F17"/>
    <w:rsid w:val="00341E3E"/>
    <w:rsid w:val="00342539"/>
    <w:rsid w:val="00347E5F"/>
    <w:rsid w:val="003506F9"/>
    <w:rsid w:val="00350E4B"/>
    <w:rsid w:val="00354A60"/>
    <w:rsid w:val="003561C9"/>
    <w:rsid w:val="00357144"/>
    <w:rsid w:val="00360660"/>
    <w:rsid w:val="00362C4C"/>
    <w:rsid w:val="0036424B"/>
    <w:rsid w:val="0036594A"/>
    <w:rsid w:val="00371D5F"/>
    <w:rsid w:val="0037282D"/>
    <w:rsid w:val="00374294"/>
    <w:rsid w:val="00375A8B"/>
    <w:rsid w:val="003771C8"/>
    <w:rsid w:val="00384586"/>
    <w:rsid w:val="00385335"/>
    <w:rsid w:val="003873A0"/>
    <w:rsid w:val="0038741E"/>
    <w:rsid w:val="00391F75"/>
    <w:rsid w:val="003940BD"/>
    <w:rsid w:val="003A0CB6"/>
    <w:rsid w:val="003A268F"/>
    <w:rsid w:val="003A2BBB"/>
    <w:rsid w:val="003A3748"/>
    <w:rsid w:val="003A6A07"/>
    <w:rsid w:val="003B08FA"/>
    <w:rsid w:val="003B0CEA"/>
    <w:rsid w:val="003B2D8A"/>
    <w:rsid w:val="003B3345"/>
    <w:rsid w:val="003B4B08"/>
    <w:rsid w:val="003B5738"/>
    <w:rsid w:val="003B6E3F"/>
    <w:rsid w:val="003B7875"/>
    <w:rsid w:val="003C1C8E"/>
    <w:rsid w:val="003C1E8E"/>
    <w:rsid w:val="003C23A2"/>
    <w:rsid w:val="003C3434"/>
    <w:rsid w:val="003C78A7"/>
    <w:rsid w:val="003C7FCA"/>
    <w:rsid w:val="003D088B"/>
    <w:rsid w:val="003D40FF"/>
    <w:rsid w:val="003D420B"/>
    <w:rsid w:val="003D42A0"/>
    <w:rsid w:val="003D5ACA"/>
    <w:rsid w:val="003D6615"/>
    <w:rsid w:val="003E058D"/>
    <w:rsid w:val="003E1610"/>
    <w:rsid w:val="003E4E19"/>
    <w:rsid w:val="003E4FF6"/>
    <w:rsid w:val="003E526F"/>
    <w:rsid w:val="003E569D"/>
    <w:rsid w:val="003E618B"/>
    <w:rsid w:val="003E6A68"/>
    <w:rsid w:val="003F1226"/>
    <w:rsid w:val="003F2DFB"/>
    <w:rsid w:val="003F3217"/>
    <w:rsid w:val="003F6A9E"/>
    <w:rsid w:val="003F6E02"/>
    <w:rsid w:val="003F7B97"/>
    <w:rsid w:val="004002FB"/>
    <w:rsid w:val="0040223A"/>
    <w:rsid w:val="00405B38"/>
    <w:rsid w:val="00406378"/>
    <w:rsid w:val="00410E52"/>
    <w:rsid w:val="00411A46"/>
    <w:rsid w:val="00411C59"/>
    <w:rsid w:val="00412682"/>
    <w:rsid w:val="004143E9"/>
    <w:rsid w:val="0041488B"/>
    <w:rsid w:val="00414E26"/>
    <w:rsid w:val="0041545F"/>
    <w:rsid w:val="00415679"/>
    <w:rsid w:val="00415AE9"/>
    <w:rsid w:val="004178CD"/>
    <w:rsid w:val="0042026E"/>
    <w:rsid w:val="00421391"/>
    <w:rsid w:val="0042455C"/>
    <w:rsid w:val="00427630"/>
    <w:rsid w:val="00427C49"/>
    <w:rsid w:val="00431FF1"/>
    <w:rsid w:val="004348F0"/>
    <w:rsid w:val="00436450"/>
    <w:rsid w:val="0043709E"/>
    <w:rsid w:val="00437501"/>
    <w:rsid w:val="004377CE"/>
    <w:rsid w:val="00441B2E"/>
    <w:rsid w:val="00441EEE"/>
    <w:rsid w:val="004444A6"/>
    <w:rsid w:val="00444F53"/>
    <w:rsid w:val="004459BA"/>
    <w:rsid w:val="00445C80"/>
    <w:rsid w:val="00447C42"/>
    <w:rsid w:val="004506CC"/>
    <w:rsid w:val="0045168A"/>
    <w:rsid w:val="00451BE5"/>
    <w:rsid w:val="00452151"/>
    <w:rsid w:val="00453DA4"/>
    <w:rsid w:val="0046215C"/>
    <w:rsid w:val="00462310"/>
    <w:rsid w:val="00466FFE"/>
    <w:rsid w:val="00470824"/>
    <w:rsid w:val="00470AF8"/>
    <w:rsid w:val="00473521"/>
    <w:rsid w:val="00474501"/>
    <w:rsid w:val="004746AD"/>
    <w:rsid w:val="00474B9F"/>
    <w:rsid w:val="00474E5F"/>
    <w:rsid w:val="00475788"/>
    <w:rsid w:val="00476EE8"/>
    <w:rsid w:val="00477850"/>
    <w:rsid w:val="00477A99"/>
    <w:rsid w:val="00480777"/>
    <w:rsid w:val="00480813"/>
    <w:rsid w:val="00483644"/>
    <w:rsid w:val="00484096"/>
    <w:rsid w:val="00484D2A"/>
    <w:rsid w:val="00485E6B"/>
    <w:rsid w:val="00486368"/>
    <w:rsid w:val="00486C7A"/>
    <w:rsid w:val="00491560"/>
    <w:rsid w:val="004943AE"/>
    <w:rsid w:val="00494BBB"/>
    <w:rsid w:val="0049710C"/>
    <w:rsid w:val="004A00CC"/>
    <w:rsid w:val="004A0318"/>
    <w:rsid w:val="004A1B03"/>
    <w:rsid w:val="004A2662"/>
    <w:rsid w:val="004A2684"/>
    <w:rsid w:val="004B0596"/>
    <w:rsid w:val="004B11B4"/>
    <w:rsid w:val="004B2778"/>
    <w:rsid w:val="004B2A4F"/>
    <w:rsid w:val="004B324A"/>
    <w:rsid w:val="004B64F8"/>
    <w:rsid w:val="004B6BBF"/>
    <w:rsid w:val="004C0A77"/>
    <w:rsid w:val="004C1FAA"/>
    <w:rsid w:val="004C226C"/>
    <w:rsid w:val="004C2A43"/>
    <w:rsid w:val="004C6726"/>
    <w:rsid w:val="004D018C"/>
    <w:rsid w:val="004D1295"/>
    <w:rsid w:val="004D1730"/>
    <w:rsid w:val="004D2004"/>
    <w:rsid w:val="004D3E05"/>
    <w:rsid w:val="004D441C"/>
    <w:rsid w:val="004D6CDA"/>
    <w:rsid w:val="004D7B0F"/>
    <w:rsid w:val="004E0F5E"/>
    <w:rsid w:val="004E13E1"/>
    <w:rsid w:val="004E18C7"/>
    <w:rsid w:val="004E2647"/>
    <w:rsid w:val="004E27BF"/>
    <w:rsid w:val="004E3D4D"/>
    <w:rsid w:val="004E5E88"/>
    <w:rsid w:val="004E7A70"/>
    <w:rsid w:val="004F113C"/>
    <w:rsid w:val="004F155F"/>
    <w:rsid w:val="004F1742"/>
    <w:rsid w:val="004F2D17"/>
    <w:rsid w:val="004F6FC4"/>
    <w:rsid w:val="00500FFA"/>
    <w:rsid w:val="005049D6"/>
    <w:rsid w:val="00505604"/>
    <w:rsid w:val="005111C8"/>
    <w:rsid w:val="00512140"/>
    <w:rsid w:val="0051281D"/>
    <w:rsid w:val="00512C4C"/>
    <w:rsid w:val="00520C14"/>
    <w:rsid w:val="00525E02"/>
    <w:rsid w:val="00526B07"/>
    <w:rsid w:val="005274B3"/>
    <w:rsid w:val="00531567"/>
    <w:rsid w:val="00534681"/>
    <w:rsid w:val="00534AC9"/>
    <w:rsid w:val="00541665"/>
    <w:rsid w:val="00541E1B"/>
    <w:rsid w:val="00547C39"/>
    <w:rsid w:val="005513D8"/>
    <w:rsid w:val="005574B7"/>
    <w:rsid w:val="00557B9D"/>
    <w:rsid w:val="00560713"/>
    <w:rsid w:val="0056360A"/>
    <w:rsid w:val="00563639"/>
    <w:rsid w:val="0056739C"/>
    <w:rsid w:val="005707D9"/>
    <w:rsid w:val="00570DA0"/>
    <w:rsid w:val="00570FDF"/>
    <w:rsid w:val="00572065"/>
    <w:rsid w:val="0057445A"/>
    <w:rsid w:val="005768A3"/>
    <w:rsid w:val="00576993"/>
    <w:rsid w:val="00576CE6"/>
    <w:rsid w:val="00581EF0"/>
    <w:rsid w:val="00583F62"/>
    <w:rsid w:val="00584F62"/>
    <w:rsid w:val="00585E0B"/>
    <w:rsid w:val="00594666"/>
    <w:rsid w:val="00594BF5"/>
    <w:rsid w:val="005A1106"/>
    <w:rsid w:val="005A14B6"/>
    <w:rsid w:val="005A223E"/>
    <w:rsid w:val="005A28E7"/>
    <w:rsid w:val="005A5206"/>
    <w:rsid w:val="005A6322"/>
    <w:rsid w:val="005A6FC7"/>
    <w:rsid w:val="005A7AE3"/>
    <w:rsid w:val="005B2EC6"/>
    <w:rsid w:val="005B3681"/>
    <w:rsid w:val="005B6CC0"/>
    <w:rsid w:val="005B7F34"/>
    <w:rsid w:val="005C0C4B"/>
    <w:rsid w:val="005C17EE"/>
    <w:rsid w:val="005C3C2D"/>
    <w:rsid w:val="005C650C"/>
    <w:rsid w:val="005C691B"/>
    <w:rsid w:val="005D0A2C"/>
    <w:rsid w:val="005D2A3D"/>
    <w:rsid w:val="005D6468"/>
    <w:rsid w:val="005D6924"/>
    <w:rsid w:val="005D71FF"/>
    <w:rsid w:val="005E001E"/>
    <w:rsid w:val="005E0073"/>
    <w:rsid w:val="005E2726"/>
    <w:rsid w:val="005E3CE5"/>
    <w:rsid w:val="005E4FF9"/>
    <w:rsid w:val="005E527F"/>
    <w:rsid w:val="005E5777"/>
    <w:rsid w:val="005E7624"/>
    <w:rsid w:val="005F10EF"/>
    <w:rsid w:val="005F2589"/>
    <w:rsid w:val="005F41CA"/>
    <w:rsid w:val="005F4B5F"/>
    <w:rsid w:val="005F55B1"/>
    <w:rsid w:val="005F5625"/>
    <w:rsid w:val="005F7EC0"/>
    <w:rsid w:val="00600A86"/>
    <w:rsid w:val="00601C1F"/>
    <w:rsid w:val="0060373B"/>
    <w:rsid w:val="00603AEB"/>
    <w:rsid w:val="006043D3"/>
    <w:rsid w:val="0060457E"/>
    <w:rsid w:val="0060468D"/>
    <w:rsid w:val="00604CD1"/>
    <w:rsid w:val="00604EBC"/>
    <w:rsid w:val="00605C2C"/>
    <w:rsid w:val="00606863"/>
    <w:rsid w:val="00610D0B"/>
    <w:rsid w:val="0061207A"/>
    <w:rsid w:val="00612863"/>
    <w:rsid w:val="0061402F"/>
    <w:rsid w:val="0061407D"/>
    <w:rsid w:val="0061756B"/>
    <w:rsid w:val="0062350E"/>
    <w:rsid w:val="006252F7"/>
    <w:rsid w:val="0063122E"/>
    <w:rsid w:val="0063370C"/>
    <w:rsid w:val="00636347"/>
    <w:rsid w:val="006412DC"/>
    <w:rsid w:val="00642612"/>
    <w:rsid w:val="00643004"/>
    <w:rsid w:val="006446DC"/>
    <w:rsid w:val="00644C94"/>
    <w:rsid w:val="006457B0"/>
    <w:rsid w:val="00647088"/>
    <w:rsid w:val="0065034F"/>
    <w:rsid w:val="006531FA"/>
    <w:rsid w:val="00654430"/>
    <w:rsid w:val="00661567"/>
    <w:rsid w:val="006625EA"/>
    <w:rsid w:val="00663736"/>
    <w:rsid w:val="006641AA"/>
    <w:rsid w:val="00664610"/>
    <w:rsid w:val="00665BA9"/>
    <w:rsid w:val="00665D22"/>
    <w:rsid w:val="00666327"/>
    <w:rsid w:val="00667562"/>
    <w:rsid w:val="00667A99"/>
    <w:rsid w:val="0067048F"/>
    <w:rsid w:val="00670C07"/>
    <w:rsid w:val="006731AC"/>
    <w:rsid w:val="0067419B"/>
    <w:rsid w:val="0067580D"/>
    <w:rsid w:val="00677116"/>
    <w:rsid w:val="0068030E"/>
    <w:rsid w:val="00681A0A"/>
    <w:rsid w:val="0068384E"/>
    <w:rsid w:val="006875EA"/>
    <w:rsid w:val="00687E7B"/>
    <w:rsid w:val="006900AD"/>
    <w:rsid w:val="00690A9F"/>
    <w:rsid w:val="0069297A"/>
    <w:rsid w:val="00692C68"/>
    <w:rsid w:val="00693414"/>
    <w:rsid w:val="00694B30"/>
    <w:rsid w:val="00695BE9"/>
    <w:rsid w:val="00696F0F"/>
    <w:rsid w:val="006A0D35"/>
    <w:rsid w:val="006A1234"/>
    <w:rsid w:val="006A1444"/>
    <w:rsid w:val="006A2F7B"/>
    <w:rsid w:val="006A5DFC"/>
    <w:rsid w:val="006A6FEB"/>
    <w:rsid w:val="006A73A6"/>
    <w:rsid w:val="006B095F"/>
    <w:rsid w:val="006B0E5C"/>
    <w:rsid w:val="006B17AE"/>
    <w:rsid w:val="006B1F04"/>
    <w:rsid w:val="006B2EA2"/>
    <w:rsid w:val="006B34C5"/>
    <w:rsid w:val="006B377A"/>
    <w:rsid w:val="006B4BE8"/>
    <w:rsid w:val="006B5132"/>
    <w:rsid w:val="006B6432"/>
    <w:rsid w:val="006B6CB4"/>
    <w:rsid w:val="006C05ED"/>
    <w:rsid w:val="006C61E3"/>
    <w:rsid w:val="006C666C"/>
    <w:rsid w:val="006C6941"/>
    <w:rsid w:val="006D1FE1"/>
    <w:rsid w:val="006D6895"/>
    <w:rsid w:val="006D7E70"/>
    <w:rsid w:val="006E1178"/>
    <w:rsid w:val="006E11F6"/>
    <w:rsid w:val="006E235A"/>
    <w:rsid w:val="006E5B2B"/>
    <w:rsid w:val="006E6A4D"/>
    <w:rsid w:val="006E7D66"/>
    <w:rsid w:val="006E7E48"/>
    <w:rsid w:val="006F14C6"/>
    <w:rsid w:val="006F15BC"/>
    <w:rsid w:val="006F6F42"/>
    <w:rsid w:val="006F700C"/>
    <w:rsid w:val="0070006B"/>
    <w:rsid w:val="00700ABA"/>
    <w:rsid w:val="00700DB5"/>
    <w:rsid w:val="007021AA"/>
    <w:rsid w:val="007049D0"/>
    <w:rsid w:val="00710EB5"/>
    <w:rsid w:val="00711D3B"/>
    <w:rsid w:val="00712223"/>
    <w:rsid w:val="007124FD"/>
    <w:rsid w:val="0071253A"/>
    <w:rsid w:val="007128A8"/>
    <w:rsid w:val="00715E60"/>
    <w:rsid w:val="00716D06"/>
    <w:rsid w:val="00721195"/>
    <w:rsid w:val="00721F00"/>
    <w:rsid w:val="007223E1"/>
    <w:rsid w:val="007228FA"/>
    <w:rsid w:val="007243BA"/>
    <w:rsid w:val="007251CF"/>
    <w:rsid w:val="007265FB"/>
    <w:rsid w:val="00726843"/>
    <w:rsid w:val="007309B3"/>
    <w:rsid w:val="00731544"/>
    <w:rsid w:val="0073289B"/>
    <w:rsid w:val="00733D0D"/>
    <w:rsid w:val="007344A0"/>
    <w:rsid w:val="0073533D"/>
    <w:rsid w:val="0073598C"/>
    <w:rsid w:val="00735E94"/>
    <w:rsid w:val="007373CA"/>
    <w:rsid w:val="00740872"/>
    <w:rsid w:val="00740981"/>
    <w:rsid w:val="00740F85"/>
    <w:rsid w:val="007415B3"/>
    <w:rsid w:val="00750806"/>
    <w:rsid w:val="0075318A"/>
    <w:rsid w:val="00753782"/>
    <w:rsid w:val="00761248"/>
    <w:rsid w:val="00761F29"/>
    <w:rsid w:val="007668A1"/>
    <w:rsid w:val="00767AC1"/>
    <w:rsid w:val="007707C2"/>
    <w:rsid w:val="0077082C"/>
    <w:rsid w:val="00772B8E"/>
    <w:rsid w:val="00774BBF"/>
    <w:rsid w:val="00775D73"/>
    <w:rsid w:val="00784709"/>
    <w:rsid w:val="00784C0A"/>
    <w:rsid w:val="007869A4"/>
    <w:rsid w:val="0079031E"/>
    <w:rsid w:val="00790401"/>
    <w:rsid w:val="00790EAB"/>
    <w:rsid w:val="00793579"/>
    <w:rsid w:val="0079445D"/>
    <w:rsid w:val="00796478"/>
    <w:rsid w:val="007A000D"/>
    <w:rsid w:val="007A04CD"/>
    <w:rsid w:val="007A055A"/>
    <w:rsid w:val="007A326D"/>
    <w:rsid w:val="007A3CB3"/>
    <w:rsid w:val="007B54AF"/>
    <w:rsid w:val="007C23DB"/>
    <w:rsid w:val="007C39FE"/>
    <w:rsid w:val="007C3EAA"/>
    <w:rsid w:val="007C7AF0"/>
    <w:rsid w:val="007D04A1"/>
    <w:rsid w:val="007D0522"/>
    <w:rsid w:val="007D2F4F"/>
    <w:rsid w:val="007D36CB"/>
    <w:rsid w:val="007D3812"/>
    <w:rsid w:val="007D49E2"/>
    <w:rsid w:val="007D6E02"/>
    <w:rsid w:val="007D7474"/>
    <w:rsid w:val="007E05CB"/>
    <w:rsid w:val="007E2ABB"/>
    <w:rsid w:val="007E3BD7"/>
    <w:rsid w:val="007E64A1"/>
    <w:rsid w:val="007F30C3"/>
    <w:rsid w:val="007F36A1"/>
    <w:rsid w:val="007F4640"/>
    <w:rsid w:val="007F5C5F"/>
    <w:rsid w:val="007F665E"/>
    <w:rsid w:val="007F66D1"/>
    <w:rsid w:val="007F72A0"/>
    <w:rsid w:val="007F7FD1"/>
    <w:rsid w:val="00801309"/>
    <w:rsid w:val="008022FC"/>
    <w:rsid w:val="008024FA"/>
    <w:rsid w:val="00802583"/>
    <w:rsid w:val="00803D2C"/>
    <w:rsid w:val="008069D9"/>
    <w:rsid w:val="00806FA9"/>
    <w:rsid w:val="008121D5"/>
    <w:rsid w:val="00814B09"/>
    <w:rsid w:val="008150F7"/>
    <w:rsid w:val="00820787"/>
    <w:rsid w:val="00820859"/>
    <w:rsid w:val="008208E6"/>
    <w:rsid w:val="00822F7D"/>
    <w:rsid w:val="008304EA"/>
    <w:rsid w:val="0083458A"/>
    <w:rsid w:val="008355E5"/>
    <w:rsid w:val="00835F11"/>
    <w:rsid w:val="00836EB5"/>
    <w:rsid w:val="0083724C"/>
    <w:rsid w:val="008378DF"/>
    <w:rsid w:val="00837D16"/>
    <w:rsid w:val="00842212"/>
    <w:rsid w:val="00842A1B"/>
    <w:rsid w:val="008445B6"/>
    <w:rsid w:val="0084705A"/>
    <w:rsid w:val="00850805"/>
    <w:rsid w:val="00853556"/>
    <w:rsid w:val="00855602"/>
    <w:rsid w:val="00856B08"/>
    <w:rsid w:val="00860160"/>
    <w:rsid w:val="008618A9"/>
    <w:rsid w:val="008626CB"/>
    <w:rsid w:val="008636AB"/>
    <w:rsid w:val="00866269"/>
    <w:rsid w:val="008716A9"/>
    <w:rsid w:val="00873397"/>
    <w:rsid w:val="00873CE2"/>
    <w:rsid w:val="008747F7"/>
    <w:rsid w:val="00874B30"/>
    <w:rsid w:val="008765FC"/>
    <w:rsid w:val="008773E1"/>
    <w:rsid w:val="00877BEE"/>
    <w:rsid w:val="00877F06"/>
    <w:rsid w:val="00881569"/>
    <w:rsid w:val="00882A4D"/>
    <w:rsid w:val="00883C9F"/>
    <w:rsid w:val="00886B5E"/>
    <w:rsid w:val="00887CCC"/>
    <w:rsid w:val="0089004C"/>
    <w:rsid w:val="0089163A"/>
    <w:rsid w:val="0089173D"/>
    <w:rsid w:val="0089429B"/>
    <w:rsid w:val="00895DD1"/>
    <w:rsid w:val="008A0E5B"/>
    <w:rsid w:val="008A4552"/>
    <w:rsid w:val="008A7157"/>
    <w:rsid w:val="008B10E2"/>
    <w:rsid w:val="008B40A4"/>
    <w:rsid w:val="008B682B"/>
    <w:rsid w:val="008B6DAC"/>
    <w:rsid w:val="008C0CA9"/>
    <w:rsid w:val="008C12B8"/>
    <w:rsid w:val="008C2704"/>
    <w:rsid w:val="008C7541"/>
    <w:rsid w:val="008D17E3"/>
    <w:rsid w:val="008D1A7F"/>
    <w:rsid w:val="008D1CFF"/>
    <w:rsid w:val="008D2738"/>
    <w:rsid w:val="008D37B1"/>
    <w:rsid w:val="008D4CC6"/>
    <w:rsid w:val="008D5BB8"/>
    <w:rsid w:val="008D6A9E"/>
    <w:rsid w:val="008E0A05"/>
    <w:rsid w:val="008E1CFA"/>
    <w:rsid w:val="008E66FB"/>
    <w:rsid w:val="008E7BA8"/>
    <w:rsid w:val="008F030F"/>
    <w:rsid w:val="008F257E"/>
    <w:rsid w:val="008F39E0"/>
    <w:rsid w:val="008F4A85"/>
    <w:rsid w:val="008F59D9"/>
    <w:rsid w:val="00901AC6"/>
    <w:rsid w:val="009020E5"/>
    <w:rsid w:val="00902275"/>
    <w:rsid w:val="00902533"/>
    <w:rsid w:val="00904B9D"/>
    <w:rsid w:val="009051BD"/>
    <w:rsid w:val="009061AA"/>
    <w:rsid w:val="009062D8"/>
    <w:rsid w:val="00910BDE"/>
    <w:rsid w:val="00911820"/>
    <w:rsid w:val="00912541"/>
    <w:rsid w:val="009127DC"/>
    <w:rsid w:val="00912999"/>
    <w:rsid w:val="00914928"/>
    <w:rsid w:val="00923BB8"/>
    <w:rsid w:val="009241E8"/>
    <w:rsid w:val="00926142"/>
    <w:rsid w:val="00926450"/>
    <w:rsid w:val="00934D2B"/>
    <w:rsid w:val="00936B20"/>
    <w:rsid w:val="00936DC0"/>
    <w:rsid w:val="009371FC"/>
    <w:rsid w:val="009378EF"/>
    <w:rsid w:val="00940D1D"/>
    <w:rsid w:val="00940F6F"/>
    <w:rsid w:val="0094202B"/>
    <w:rsid w:val="009434CC"/>
    <w:rsid w:val="00943B65"/>
    <w:rsid w:val="00944BD7"/>
    <w:rsid w:val="00945580"/>
    <w:rsid w:val="00950827"/>
    <w:rsid w:val="009519FE"/>
    <w:rsid w:val="0095398C"/>
    <w:rsid w:val="00954FC9"/>
    <w:rsid w:val="00955F84"/>
    <w:rsid w:val="00961AC7"/>
    <w:rsid w:val="009620ED"/>
    <w:rsid w:val="00962E1B"/>
    <w:rsid w:val="00962ECD"/>
    <w:rsid w:val="009643E6"/>
    <w:rsid w:val="009651C1"/>
    <w:rsid w:val="009652F7"/>
    <w:rsid w:val="00965503"/>
    <w:rsid w:val="00967BE3"/>
    <w:rsid w:val="0097135F"/>
    <w:rsid w:val="00971DF8"/>
    <w:rsid w:val="009810F3"/>
    <w:rsid w:val="00983321"/>
    <w:rsid w:val="009850C6"/>
    <w:rsid w:val="00987512"/>
    <w:rsid w:val="00991DB7"/>
    <w:rsid w:val="009930A1"/>
    <w:rsid w:val="009A1E00"/>
    <w:rsid w:val="009A4DC4"/>
    <w:rsid w:val="009B0628"/>
    <w:rsid w:val="009B0D11"/>
    <w:rsid w:val="009B3009"/>
    <w:rsid w:val="009B3A5A"/>
    <w:rsid w:val="009B5659"/>
    <w:rsid w:val="009B6A50"/>
    <w:rsid w:val="009B7087"/>
    <w:rsid w:val="009B74A9"/>
    <w:rsid w:val="009C0E61"/>
    <w:rsid w:val="009C1E94"/>
    <w:rsid w:val="009C1F6F"/>
    <w:rsid w:val="009C4870"/>
    <w:rsid w:val="009C53F4"/>
    <w:rsid w:val="009D0782"/>
    <w:rsid w:val="009D0EFE"/>
    <w:rsid w:val="009D1267"/>
    <w:rsid w:val="009D4479"/>
    <w:rsid w:val="009D4CDD"/>
    <w:rsid w:val="009D50F0"/>
    <w:rsid w:val="009D57FA"/>
    <w:rsid w:val="009D755B"/>
    <w:rsid w:val="009E3890"/>
    <w:rsid w:val="009E4479"/>
    <w:rsid w:val="009E710B"/>
    <w:rsid w:val="009E7864"/>
    <w:rsid w:val="009F182E"/>
    <w:rsid w:val="009F216C"/>
    <w:rsid w:val="009F2BBA"/>
    <w:rsid w:val="009F3095"/>
    <w:rsid w:val="009F38A3"/>
    <w:rsid w:val="009F4402"/>
    <w:rsid w:val="009F44AF"/>
    <w:rsid w:val="009F5AF9"/>
    <w:rsid w:val="009F750C"/>
    <w:rsid w:val="009F7DD3"/>
    <w:rsid w:val="00A00694"/>
    <w:rsid w:val="00A01A11"/>
    <w:rsid w:val="00A025D6"/>
    <w:rsid w:val="00A02CCB"/>
    <w:rsid w:val="00A046F1"/>
    <w:rsid w:val="00A0532A"/>
    <w:rsid w:val="00A067A1"/>
    <w:rsid w:val="00A068D0"/>
    <w:rsid w:val="00A06AAE"/>
    <w:rsid w:val="00A11E82"/>
    <w:rsid w:val="00A13AB5"/>
    <w:rsid w:val="00A15C0B"/>
    <w:rsid w:val="00A17720"/>
    <w:rsid w:val="00A21288"/>
    <w:rsid w:val="00A23187"/>
    <w:rsid w:val="00A2457C"/>
    <w:rsid w:val="00A30C2F"/>
    <w:rsid w:val="00A31626"/>
    <w:rsid w:val="00A33BD9"/>
    <w:rsid w:val="00A34B18"/>
    <w:rsid w:val="00A34CD5"/>
    <w:rsid w:val="00A377C6"/>
    <w:rsid w:val="00A40059"/>
    <w:rsid w:val="00A41BAA"/>
    <w:rsid w:val="00A421B4"/>
    <w:rsid w:val="00A434AA"/>
    <w:rsid w:val="00A45630"/>
    <w:rsid w:val="00A468DF"/>
    <w:rsid w:val="00A5214A"/>
    <w:rsid w:val="00A52981"/>
    <w:rsid w:val="00A54CC0"/>
    <w:rsid w:val="00A55094"/>
    <w:rsid w:val="00A5546E"/>
    <w:rsid w:val="00A6069B"/>
    <w:rsid w:val="00A609BC"/>
    <w:rsid w:val="00A61C4E"/>
    <w:rsid w:val="00A6366E"/>
    <w:rsid w:val="00A66818"/>
    <w:rsid w:val="00A67592"/>
    <w:rsid w:val="00A71A46"/>
    <w:rsid w:val="00A77850"/>
    <w:rsid w:val="00A80653"/>
    <w:rsid w:val="00A83487"/>
    <w:rsid w:val="00A859E2"/>
    <w:rsid w:val="00A862A6"/>
    <w:rsid w:val="00A86C91"/>
    <w:rsid w:val="00A922B0"/>
    <w:rsid w:val="00A94966"/>
    <w:rsid w:val="00A94D35"/>
    <w:rsid w:val="00AA030C"/>
    <w:rsid w:val="00AA1E28"/>
    <w:rsid w:val="00AA26EC"/>
    <w:rsid w:val="00AA2CE1"/>
    <w:rsid w:val="00AA2E29"/>
    <w:rsid w:val="00AA3874"/>
    <w:rsid w:val="00AA4FA6"/>
    <w:rsid w:val="00AA5B79"/>
    <w:rsid w:val="00AA7452"/>
    <w:rsid w:val="00AB158C"/>
    <w:rsid w:val="00AB3541"/>
    <w:rsid w:val="00AB3DCF"/>
    <w:rsid w:val="00AB4419"/>
    <w:rsid w:val="00AB64ED"/>
    <w:rsid w:val="00AB65A4"/>
    <w:rsid w:val="00AC105D"/>
    <w:rsid w:val="00AC16F2"/>
    <w:rsid w:val="00AC2367"/>
    <w:rsid w:val="00AC27D4"/>
    <w:rsid w:val="00AC3539"/>
    <w:rsid w:val="00AC4E77"/>
    <w:rsid w:val="00AC6DEA"/>
    <w:rsid w:val="00AC71CE"/>
    <w:rsid w:val="00AC738E"/>
    <w:rsid w:val="00AC7851"/>
    <w:rsid w:val="00AD2026"/>
    <w:rsid w:val="00AD41CB"/>
    <w:rsid w:val="00AD4E22"/>
    <w:rsid w:val="00AD5A4F"/>
    <w:rsid w:val="00AE001B"/>
    <w:rsid w:val="00AE1199"/>
    <w:rsid w:val="00AE27A4"/>
    <w:rsid w:val="00AE64B8"/>
    <w:rsid w:val="00AF079D"/>
    <w:rsid w:val="00AF2629"/>
    <w:rsid w:val="00AF3483"/>
    <w:rsid w:val="00AF42B5"/>
    <w:rsid w:val="00AF5B72"/>
    <w:rsid w:val="00AF78BD"/>
    <w:rsid w:val="00B019C7"/>
    <w:rsid w:val="00B02A96"/>
    <w:rsid w:val="00B03F47"/>
    <w:rsid w:val="00B06EC2"/>
    <w:rsid w:val="00B10952"/>
    <w:rsid w:val="00B11D98"/>
    <w:rsid w:val="00B13959"/>
    <w:rsid w:val="00B153AB"/>
    <w:rsid w:val="00B17670"/>
    <w:rsid w:val="00B17B57"/>
    <w:rsid w:val="00B220DF"/>
    <w:rsid w:val="00B2245C"/>
    <w:rsid w:val="00B23D65"/>
    <w:rsid w:val="00B2401D"/>
    <w:rsid w:val="00B24952"/>
    <w:rsid w:val="00B260D7"/>
    <w:rsid w:val="00B2718A"/>
    <w:rsid w:val="00B31B9C"/>
    <w:rsid w:val="00B34309"/>
    <w:rsid w:val="00B40881"/>
    <w:rsid w:val="00B4143E"/>
    <w:rsid w:val="00B433F1"/>
    <w:rsid w:val="00B45B42"/>
    <w:rsid w:val="00B477E7"/>
    <w:rsid w:val="00B47AD3"/>
    <w:rsid w:val="00B53AA1"/>
    <w:rsid w:val="00B54A2E"/>
    <w:rsid w:val="00B55C73"/>
    <w:rsid w:val="00B55E11"/>
    <w:rsid w:val="00B63D2C"/>
    <w:rsid w:val="00B66538"/>
    <w:rsid w:val="00B66FAE"/>
    <w:rsid w:val="00B6788E"/>
    <w:rsid w:val="00B73F70"/>
    <w:rsid w:val="00B74617"/>
    <w:rsid w:val="00B76430"/>
    <w:rsid w:val="00B775E6"/>
    <w:rsid w:val="00B845E7"/>
    <w:rsid w:val="00B84F02"/>
    <w:rsid w:val="00B85DA3"/>
    <w:rsid w:val="00B86DD6"/>
    <w:rsid w:val="00B874E8"/>
    <w:rsid w:val="00B91293"/>
    <w:rsid w:val="00B92CB9"/>
    <w:rsid w:val="00B93174"/>
    <w:rsid w:val="00B93F81"/>
    <w:rsid w:val="00B95224"/>
    <w:rsid w:val="00B95657"/>
    <w:rsid w:val="00BA0DD7"/>
    <w:rsid w:val="00BA2B13"/>
    <w:rsid w:val="00BA3747"/>
    <w:rsid w:val="00BA6A5F"/>
    <w:rsid w:val="00BB0A3B"/>
    <w:rsid w:val="00BB4173"/>
    <w:rsid w:val="00BC0110"/>
    <w:rsid w:val="00BC0503"/>
    <w:rsid w:val="00BC099D"/>
    <w:rsid w:val="00BC2F08"/>
    <w:rsid w:val="00BC5824"/>
    <w:rsid w:val="00BC5EEA"/>
    <w:rsid w:val="00BC635B"/>
    <w:rsid w:val="00BC7B62"/>
    <w:rsid w:val="00BD494B"/>
    <w:rsid w:val="00BD4D34"/>
    <w:rsid w:val="00BD7808"/>
    <w:rsid w:val="00BE01FF"/>
    <w:rsid w:val="00BE3676"/>
    <w:rsid w:val="00BE4901"/>
    <w:rsid w:val="00BE5454"/>
    <w:rsid w:val="00BE6F19"/>
    <w:rsid w:val="00BE7D2B"/>
    <w:rsid w:val="00BF25A1"/>
    <w:rsid w:val="00BF28B7"/>
    <w:rsid w:val="00BF3005"/>
    <w:rsid w:val="00BF356A"/>
    <w:rsid w:val="00BF3FA7"/>
    <w:rsid w:val="00BF4D5D"/>
    <w:rsid w:val="00BF685C"/>
    <w:rsid w:val="00BF7FC9"/>
    <w:rsid w:val="00C00CDC"/>
    <w:rsid w:val="00C026C0"/>
    <w:rsid w:val="00C04C54"/>
    <w:rsid w:val="00C07F15"/>
    <w:rsid w:val="00C1212B"/>
    <w:rsid w:val="00C1386C"/>
    <w:rsid w:val="00C226E8"/>
    <w:rsid w:val="00C2389E"/>
    <w:rsid w:val="00C24E08"/>
    <w:rsid w:val="00C25FD1"/>
    <w:rsid w:val="00C26751"/>
    <w:rsid w:val="00C309CB"/>
    <w:rsid w:val="00C32489"/>
    <w:rsid w:val="00C324DB"/>
    <w:rsid w:val="00C35301"/>
    <w:rsid w:val="00C366A0"/>
    <w:rsid w:val="00C42E0B"/>
    <w:rsid w:val="00C50BBB"/>
    <w:rsid w:val="00C50CDC"/>
    <w:rsid w:val="00C52849"/>
    <w:rsid w:val="00C53675"/>
    <w:rsid w:val="00C62C2A"/>
    <w:rsid w:val="00C65579"/>
    <w:rsid w:val="00C6578F"/>
    <w:rsid w:val="00C6726B"/>
    <w:rsid w:val="00C67373"/>
    <w:rsid w:val="00C70293"/>
    <w:rsid w:val="00C720E7"/>
    <w:rsid w:val="00C74732"/>
    <w:rsid w:val="00C80D7E"/>
    <w:rsid w:val="00C81987"/>
    <w:rsid w:val="00C831A3"/>
    <w:rsid w:val="00C84216"/>
    <w:rsid w:val="00C844EE"/>
    <w:rsid w:val="00C84A6D"/>
    <w:rsid w:val="00C8640C"/>
    <w:rsid w:val="00C90AA6"/>
    <w:rsid w:val="00C90D27"/>
    <w:rsid w:val="00C944DF"/>
    <w:rsid w:val="00C951F9"/>
    <w:rsid w:val="00CA01E1"/>
    <w:rsid w:val="00CA0696"/>
    <w:rsid w:val="00CA13B4"/>
    <w:rsid w:val="00CA3354"/>
    <w:rsid w:val="00CA39DF"/>
    <w:rsid w:val="00CA4327"/>
    <w:rsid w:val="00CA530A"/>
    <w:rsid w:val="00CB0EE0"/>
    <w:rsid w:val="00CB190A"/>
    <w:rsid w:val="00CB4BBF"/>
    <w:rsid w:val="00CB7EE5"/>
    <w:rsid w:val="00CC031C"/>
    <w:rsid w:val="00CC2C60"/>
    <w:rsid w:val="00CC3D12"/>
    <w:rsid w:val="00CC404A"/>
    <w:rsid w:val="00CC4FD9"/>
    <w:rsid w:val="00CC7387"/>
    <w:rsid w:val="00CD2A31"/>
    <w:rsid w:val="00CD3CB7"/>
    <w:rsid w:val="00CD51D7"/>
    <w:rsid w:val="00CD72CE"/>
    <w:rsid w:val="00CD7BC8"/>
    <w:rsid w:val="00CE14C7"/>
    <w:rsid w:val="00CE1841"/>
    <w:rsid w:val="00CE2A7F"/>
    <w:rsid w:val="00CE324B"/>
    <w:rsid w:val="00CE3BC0"/>
    <w:rsid w:val="00CE48F1"/>
    <w:rsid w:val="00CE4B0B"/>
    <w:rsid w:val="00CE789B"/>
    <w:rsid w:val="00CF7F35"/>
    <w:rsid w:val="00CF7F3A"/>
    <w:rsid w:val="00D03494"/>
    <w:rsid w:val="00D0462F"/>
    <w:rsid w:val="00D0654C"/>
    <w:rsid w:val="00D10208"/>
    <w:rsid w:val="00D12208"/>
    <w:rsid w:val="00D12E86"/>
    <w:rsid w:val="00D144F2"/>
    <w:rsid w:val="00D14EDB"/>
    <w:rsid w:val="00D17B4D"/>
    <w:rsid w:val="00D20620"/>
    <w:rsid w:val="00D24E1C"/>
    <w:rsid w:val="00D2721F"/>
    <w:rsid w:val="00D30197"/>
    <w:rsid w:val="00D301C1"/>
    <w:rsid w:val="00D31E19"/>
    <w:rsid w:val="00D324BA"/>
    <w:rsid w:val="00D328D0"/>
    <w:rsid w:val="00D33B32"/>
    <w:rsid w:val="00D34952"/>
    <w:rsid w:val="00D35C74"/>
    <w:rsid w:val="00D35D18"/>
    <w:rsid w:val="00D36DA5"/>
    <w:rsid w:val="00D37AF6"/>
    <w:rsid w:val="00D37D49"/>
    <w:rsid w:val="00D40760"/>
    <w:rsid w:val="00D408FE"/>
    <w:rsid w:val="00D43928"/>
    <w:rsid w:val="00D45FF8"/>
    <w:rsid w:val="00D46027"/>
    <w:rsid w:val="00D46514"/>
    <w:rsid w:val="00D475D5"/>
    <w:rsid w:val="00D50816"/>
    <w:rsid w:val="00D52694"/>
    <w:rsid w:val="00D53AC4"/>
    <w:rsid w:val="00D5410A"/>
    <w:rsid w:val="00D5612B"/>
    <w:rsid w:val="00D5796A"/>
    <w:rsid w:val="00D61930"/>
    <w:rsid w:val="00D61D90"/>
    <w:rsid w:val="00D631E4"/>
    <w:rsid w:val="00D64259"/>
    <w:rsid w:val="00D64A58"/>
    <w:rsid w:val="00D658D8"/>
    <w:rsid w:val="00D65D7C"/>
    <w:rsid w:val="00D676AF"/>
    <w:rsid w:val="00D70832"/>
    <w:rsid w:val="00D720D3"/>
    <w:rsid w:val="00D75477"/>
    <w:rsid w:val="00D761A4"/>
    <w:rsid w:val="00D91CBC"/>
    <w:rsid w:val="00D93FD3"/>
    <w:rsid w:val="00D9563A"/>
    <w:rsid w:val="00D9707F"/>
    <w:rsid w:val="00D97233"/>
    <w:rsid w:val="00D9758E"/>
    <w:rsid w:val="00DA0425"/>
    <w:rsid w:val="00DA056C"/>
    <w:rsid w:val="00DA2F4B"/>
    <w:rsid w:val="00DA355A"/>
    <w:rsid w:val="00DA657B"/>
    <w:rsid w:val="00DA7AD1"/>
    <w:rsid w:val="00DB4267"/>
    <w:rsid w:val="00DB4537"/>
    <w:rsid w:val="00DB4E6F"/>
    <w:rsid w:val="00DB4F13"/>
    <w:rsid w:val="00DB56D8"/>
    <w:rsid w:val="00DB5D49"/>
    <w:rsid w:val="00DB6C01"/>
    <w:rsid w:val="00DB7100"/>
    <w:rsid w:val="00DC1447"/>
    <w:rsid w:val="00DC1A3B"/>
    <w:rsid w:val="00DC1BBE"/>
    <w:rsid w:val="00DC30F9"/>
    <w:rsid w:val="00DC4A04"/>
    <w:rsid w:val="00DD2607"/>
    <w:rsid w:val="00DD2E74"/>
    <w:rsid w:val="00DD5AB4"/>
    <w:rsid w:val="00DD6CCC"/>
    <w:rsid w:val="00DE1BA1"/>
    <w:rsid w:val="00DE1BAD"/>
    <w:rsid w:val="00DE6EFE"/>
    <w:rsid w:val="00DE7337"/>
    <w:rsid w:val="00DF0393"/>
    <w:rsid w:val="00DF0843"/>
    <w:rsid w:val="00DF0FE1"/>
    <w:rsid w:val="00DF2206"/>
    <w:rsid w:val="00E00FEB"/>
    <w:rsid w:val="00E01825"/>
    <w:rsid w:val="00E02186"/>
    <w:rsid w:val="00E02A28"/>
    <w:rsid w:val="00E02AEC"/>
    <w:rsid w:val="00E03A95"/>
    <w:rsid w:val="00E044FE"/>
    <w:rsid w:val="00E05711"/>
    <w:rsid w:val="00E0612F"/>
    <w:rsid w:val="00E06A52"/>
    <w:rsid w:val="00E07AA8"/>
    <w:rsid w:val="00E11B36"/>
    <w:rsid w:val="00E13D16"/>
    <w:rsid w:val="00E14C33"/>
    <w:rsid w:val="00E157CF"/>
    <w:rsid w:val="00E2082A"/>
    <w:rsid w:val="00E250A3"/>
    <w:rsid w:val="00E252A4"/>
    <w:rsid w:val="00E25EFA"/>
    <w:rsid w:val="00E27438"/>
    <w:rsid w:val="00E27B57"/>
    <w:rsid w:val="00E27E63"/>
    <w:rsid w:val="00E30E2D"/>
    <w:rsid w:val="00E35B96"/>
    <w:rsid w:val="00E36E5E"/>
    <w:rsid w:val="00E46071"/>
    <w:rsid w:val="00E46DE2"/>
    <w:rsid w:val="00E5388C"/>
    <w:rsid w:val="00E61949"/>
    <w:rsid w:val="00E63C1C"/>
    <w:rsid w:val="00E63EF5"/>
    <w:rsid w:val="00E66E9A"/>
    <w:rsid w:val="00E73964"/>
    <w:rsid w:val="00E74034"/>
    <w:rsid w:val="00E82BEE"/>
    <w:rsid w:val="00E82C44"/>
    <w:rsid w:val="00E84730"/>
    <w:rsid w:val="00E85523"/>
    <w:rsid w:val="00E92632"/>
    <w:rsid w:val="00E94001"/>
    <w:rsid w:val="00E95ADB"/>
    <w:rsid w:val="00E95CB1"/>
    <w:rsid w:val="00EA25B1"/>
    <w:rsid w:val="00EB1712"/>
    <w:rsid w:val="00EB6186"/>
    <w:rsid w:val="00EB68E6"/>
    <w:rsid w:val="00EB7CC8"/>
    <w:rsid w:val="00EB7CF6"/>
    <w:rsid w:val="00EC3CF0"/>
    <w:rsid w:val="00EC43AC"/>
    <w:rsid w:val="00EC5167"/>
    <w:rsid w:val="00EC5953"/>
    <w:rsid w:val="00EC5F0C"/>
    <w:rsid w:val="00EC7060"/>
    <w:rsid w:val="00ED0B17"/>
    <w:rsid w:val="00ED2872"/>
    <w:rsid w:val="00ED550C"/>
    <w:rsid w:val="00ED5BC7"/>
    <w:rsid w:val="00ED6E1A"/>
    <w:rsid w:val="00ED75AB"/>
    <w:rsid w:val="00ED7E7B"/>
    <w:rsid w:val="00EE303D"/>
    <w:rsid w:val="00EE4089"/>
    <w:rsid w:val="00EE4C0E"/>
    <w:rsid w:val="00EE4F0F"/>
    <w:rsid w:val="00EE5F42"/>
    <w:rsid w:val="00EF14A9"/>
    <w:rsid w:val="00EF183D"/>
    <w:rsid w:val="00EF2496"/>
    <w:rsid w:val="00EF303F"/>
    <w:rsid w:val="00EF4496"/>
    <w:rsid w:val="00EF44C2"/>
    <w:rsid w:val="00F002BC"/>
    <w:rsid w:val="00F00C35"/>
    <w:rsid w:val="00F011A0"/>
    <w:rsid w:val="00F02E30"/>
    <w:rsid w:val="00F02EB5"/>
    <w:rsid w:val="00F05285"/>
    <w:rsid w:val="00F11136"/>
    <w:rsid w:val="00F12820"/>
    <w:rsid w:val="00F149E2"/>
    <w:rsid w:val="00F149E9"/>
    <w:rsid w:val="00F1522C"/>
    <w:rsid w:val="00F16E21"/>
    <w:rsid w:val="00F16E5A"/>
    <w:rsid w:val="00F16FA7"/>
    <w:rsid w:val="00F17BFA"/>
    <w:rsid w:val="00F221B0"/>
    <w:rsid w:val="00F248E2"/>
    <w:rsid w:val="00F26944"/>
    <w:rsid w:val="00F26A21"/>
    <w:rsid w:val="00F26EBB"/>
    <w:rsid w:val="00F27910"/>
    <w:rsid w:val="00F3033B"/>
    <w:rsid w:val="00F30B88"/>
    <w:rsid w:val="00F3339C"/>
    <w:rsid w:val="00F33D93"/>
    <w:rsid w:val="00F4094A"/>
    <w:rsid w:val="00F418F9"/>
    <w:rsid w:val="00F41DE5"/>
    <w:rsid w:val="00F44D48"/>
    <w:rsid w:val="00F45A9E"/>
    <w:rsid w:val="00F4661D"/>
    <w:rsid w:val="00F477A6"/>
    <w:rsid w:val="00F511F6"/>
    <w:rsid w:val="00F53DA3"/>
    <w:rsid w:val="00F56BE6"/>
    <w:rsid w:val="00F62BD4"/>
    <w:rsid w:val="00F6476A"/>
    <w:rsid w:val="00F74644"/>
    <w:rsid w:val="00F9008F"/>
    <w:rsid w:val="00F935CF"/>
    <w:rsid w:val="00F9459A"/>
    <w:rsid w:val="00F9655A"/>
    <w:rsid w:val="00FA13A8"/>
    <w:rsid w:val="00FA1A34"/>
    <w:rsid w:val="00FA7274"/>
    <w:rsid w:val="00FA791F"/>
    <w:rsid w:val="00FB24A1"/>
    <w:rsid w:val="00FB34E3"/>
    <w:rsid w:val="00FB55D4"/>
    <w:rsid w:val="00FC0975"/>
    <w:rsid w:val="00FC2140"/>
    <w:rsid w:val="00FC2A9F"/>
    <w:rsid w:val="00FC548A"/>
    <w:rsid w:val="00FC5E87"/>
    <w:rsid w:val="00FC6E2D"/>
    <w:rsid w:val="00FD09D1"/>
    <w:rsid w:val="00FD0E49"/>
    <w:rsid w:val="00FD1382"/>
    <w:rsid w:val="00FD1A72"/>
    <w:rsid w:val="00FD400C"/>
    <w:rsid w:val="00FD40EE"/>
    <w:rsid w:val="00FE49B5"/>
    <w:rsid w:val="00FE4E53"/>
    <w:rsid w:val="00FE58ED"/>
    <w:rsid w:val="00FE61C2"/>
    <w:rsid w:val="00FE7003"/>
    <w:rsid w:val="00FF0B4B"/>
    <w:rsid w:val="00FF0FB1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10595"/>
  <w15:docId w15:val="{20369194-C3EE-4865-86FA-FA98C4EC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F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560"/>
  </w:style>
  <w:style w:type="paragraph" w:styleId="Stopka">
    <w:name w:val="footer"/>
    <w:basedOn w:val="Normalny"/>
    <w:link w:val="StopkaZnak"/>
    <w:uiPriority w:val="99"/>
    <w:unhideWhenUsed/>
    <w:rsid w:val="0049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560"/>
  </w:style>
  <w:style w:type="paragraph" w:styleId="Tekstdymka">
    <w:name w:val="Balloon Text"/>
    <w:basedOn w:val="Normalny"/>
    <w:link w:val="TekstdymkaZnak"/>
    <w:uiPriority w:val="99"/>
    <w:semiHidden/>
    <w:unhideWhenUsed/>
    <w:rsid w:val="005D2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A3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43D7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177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177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177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7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7720"/>
    <w:rPr>
      <w:b/>
      <w:bCs/>
      <w:sz w:val="20"/>
      <w:szCs w:val="20"/>
    </w:rPr>
  </w:style>
  <w:style w:type="paragraph" w:styleId="Akapitzlist">
    <w:name w:val="List Paragraph"/>
    <w:aliases w:val="Styl moj,Akapit z listą11,podpunkt ankietyy,Table Legend,Bullet1,List Paragraph1,List Paragraph,aotm_załączniki,Akapit z listą1,BulletPoints,5 - W tabeli,Dot pt,F5 List Paragraph,No Spacing1,List Paragraph Char Char Char,Indicator Text"/>
    <w:basedOn w:val="Normalny"/>
    <w:link w:val="AkapitzlistZnak"/>
    <w:uiPriority w:val="34"/>
    <w:qFormat/>
    <w:rsid w:val="001A18DE"/>
    <w:pPr>
      <w:ind w:left="720"/>
      <w:contextualSpacing/>
    </w:pPr>
  </w:style>
  <w:style w:type="paragraph" w:customStyle="1" w:styleId="Default">
    <w:name w:val="Default"/>
    <w:rsid w:val="00961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locked/>
    <w:rsid w:val="00C8640C"/>
    <w:rPr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8640C"/>
    <w:pPr>
      <w:widowControl w:val="0"/>
      <w:shd w:val="clear" w:color="auto" w:fill="FFFFFF"/>
      <w:spacing w:after="60" w:line="248" w:lineRule="exact"/>
      <w:ind w:hanging="480"/>
    </w:pPr>
    <w:rPr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CA0696"/>
    <w:pPr>
      <w:widowControl w:val="0"/>
      <w:autoSpaceDE w:val="0"/>
      <w:autoSpaceDN w:val="0"/>
      <w:spacing w:after="0" w:line="240" w:lineRule="auto"/>
      <w:ind w:left="467"/>
    </w:pPr>
    <w:rPr>
      <w:rFonts w:ascii="Times New Roman" w:eastAsia="Times New Roman" w:hAnsi="Times New Roman" w:cs="Times New Roman"/>
      <w:lang w:val="en-US"/>
    </w:rPr>
  </w:style>
  <w:style w:type="character" w:customStyle="1" w:styleId="AkapitzlistZnak">
    <w:name w:val="Akapit z listą Znak"/>
    <w:aliases w:val="Styl moj Znak,Akapit z listą11 Znak,podpunkt ankietyy Znak,Table Legend Znak,Bullet1 Znak,List Paragraph1 Znak,List Paragraph Znak,aotm_załączniki Znak,Akapit z listą1 Znak,BulletPoints Znak,5 - W tabeli Znak,Dot pt Znak"/>
    <w:link w:val="Akapitzlist"/>
    <w:uiPriority w:val="34"/>
    <w:qFormat/>
    <w:locked/>
    <w:rsid w:val="002E4F9E"/>
  </w:style>
  <w:style w:type="character" w:customStyle="1" w:styleId="TeksttreciPogrubienie">
    <w:name w:val="Tekst treści + Pogrubienie"/>
    <w:basedOn w:val="Teksttreci"/>
    <w:rsid w:val="007A00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identifier">
    <w:name w:val="identifier"/>
    <w:basedOn w:val="Domylnaczcionkaakapitu"/>
    <w:qFormat/>
    <w:rsid w:val="00CC4FD9"/>
  </w:style>
  <w:style w:type="paragraph" w:styleId="NormalnyWeb">
    <w:name w:val="Normal (Web)"/>
    <w:basedOn w:val="Normalny"/>
    <w:uiPriority w:val="99"/>
    <w:unhideWhenUsed/>
    <w:rsid w:val="00CC4FD9"/>
    <w:pPr>
      <w:spacing w:after="0" w:line="240" w:lineRule="auto"/>
    </w:pPr>
    <w:rPr>
      <w:rFonts w:ascii="Calibri" w:hAnsi="Calibri" w:cs="Calibri"/>
      <w:lang w:eastAsia="pl-PL"/>
    </w:rPr>
  </w:style>
  <w:style w:type="paragraph" w:styleId="Tekstpodstawowywcity">
    <w:name w:val="Body Text Indent"/>
    <w:basedOn w:val="Normalny"/>
    <w:link w:val="TekstpodstawowywcityZnak"/>
    <w:rsid w:val="000F2B9B"/>
    <w:pPr>
      <w:spacing w:after="0" w:line="240" w:lineRule="auto"/>
      <w:ind w:firstLine="426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F2B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2638D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2638D"/>
    <w:rPr>
      <w:rFonts w:ascii="Calibri" w:hAnsi="Calibri"/>
      <w:szCs w:val="21"/>
    </w:rPr>
  </w:style>
  <w:style w:type="character" w:customStyle="1" w:styleId="cf01">
    <w:name w:val="cf01"/>
    <w:basedOn w:val="Domylnaczcionkaakapitu"/>
    <w:rsid w:val="002B3AD8"/>
    <w:rPr>
      <w:rFonts w:ascii="Segoe UI" w:hAnsi="Segoe UI" w:cs="Segoe UI" w:hint="default"/>
      <w:sz w:val="18"/>
      <w:szCs w:val="18"/>
      <w:shd w:val="clear" w:color="auto" w:fill="00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938A1-19F3-4A45-8812-B73B7A00D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3133</Words>
  <Characters>18801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Buras Magda</dc:creator>
  <cp:keywords/>
  <dc:description/>
  <cp:lastModifiedBy>Wilk Justyna</cp:lastModifiedBy>
  <cp:revision>4</cp:revision>
  <cp:lastPrinted>2023-02-05T13:50:00Z</cp:lastPrinted>
  <dcterms:created xsi:type="dcterms:W3CDTF">2024-06-11T12:06:00Z</dcterms:created>
  <dcterms:modified xsi:type="dcterms:W3CDTF">2024-06-11T12:10:00Z</dcterms:modified>
</cp:coreProperties>
</file>